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9E" w:rsidRDefault="007D369E" w:rsidP="007D369E">
      <w:pPr>
        <w:ind w:left="11340"/>
        <w:jc w:val="right"/>
      </w:pPr>
      <w:r>
        <w:t>Приложение 3</w:t>
      </w:r>
    </w:p>
    <w:p w:rsidR="007D369E" w:rsidRDefault="007D369E" w:rsidP="007D369E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к Порядку разработки, реализации </w:t>
      </w:r>
    </w:p>
    <w:p w:rsidR="007D369E" w:rsidRDefault="007D369E" w:rsidP="007D369E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и оценки эффективности муниципальных программ </w:t>
      </w:r>
    </w:p>
    <w:p w:rsidR="007D369E" w:rsidRDefault="007D369E" w:rsidP="007D369E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образования «Селтинский район»</w:t>
      </w:r>
    </w:p>
    <w:p w:rsidR="007D369E" w:rsidRDefault="007D369E" w:rsidP="007D369E"/>
    <w:p w:rsidR="007D369E" w:rsidRDefault="007D369E" w:rsidP="007D369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Форма 1. </w:t>
      </w:r>
      <w:r>
        <w:rPr>
          <w:rFonts w:ascii="Times New Roman" w:hAnsi="Times New Roman"/>
        </w:rPr>
        <w:t xml:space="preserve">Отчет о достигнутых значениях целевых показателей (индикаторов) муниципальной программы </w:t>
      </w:r>
    </w:p>
    <w:p w:rsidR="007D369E" w:rsidRDefault="007D369E" w:rsidP="007D3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 о достигнутых значениях целевых показателей (индикаторов) муниципальной программы</w:t>
      </w:r>
    </w:p>
    <w:p w:rsidR="007D369E" w:rsidRDefault="007D369E" w:rsidP="007D369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по состоянию на </w:t>
      </w:r>
      <w:r w:rsidR="00DC60C3">
        <w:rPr>
          <w:rFonts w:ascii="Times New Roman" w:hAnsi="Times New Roman"/>
          <w:b/>
        </w:rPr>
        <w:t>01.01.</w:t>
      </w:r>
      <w:r w:rsidR="00F16508">
        <w:rPr>
          <w:rFonts w:ascii="Times New Roman" w:hAnsi="Times New Roman"/>
          <w:b/>
        </w:rPr>
        <w:t>2025</w:t>
      </w:r>
    </w:p>
    <w:tbl>
      <w:tblPr>
        <w:tblW w:w="15000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86"/>
        <w:gridCol w:w="565"/>
        <w:gridCol w:w="432"/>
        <w:gridCol w:w="2047"/>
        <w:gridCol w:w="1000"/>
        <w:gridCol w:w="1439"/>
        <w:gridCol w:w="224"/>
        <w:gridCol w:w="1016"/>
        <w:gridCol w:w="1240"/>
        <w:gridCol w:w="1240"/>
        <w:gridCol w:w="1255"/>
        <w:gridCol w:w="1240"/>
        <w:gridCol w:w="2601"/>
      </w:tblGrid>
      <w:tr w:rsidR="007D369E" w:rsidTr="00DC60C3">
        <w:trPr>
          <w:gridBefore w:val="1"/>
          <w:gridAfter w:val="6"/>
          <w:wBefore w:w="15" w:type="dxa"/>
          <w:wAfter w:w="8592" w:type="dxa"/>
          <w:trHeight w:val="450"/>
        </w:trPr>
        <w:tc>
          <w:tcPr>
            <w:tcW w:w="6393" w:type="dxa"/>
            <w:gridSpan w:val="7"/>
            <w:hideMark/>
          </w:tcPr>
          <w:p w:rsidR="007D369E" w:rsidRDefault="007D369E">
            <w:pPr>
              <w:spacing w:before="40" w:after="40"/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7D369E" w:rsidTr="00DC60C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204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3919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25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 исполнения плана на отчетный год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Темп роста (снижения) к уровню прошлого года, %</w:t>
            </w:r>
          </w:p>
        </w:tc>
        <w:tc>
          <w:tcPr>
            <w:tcW w:w="26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7D369E" w:rsidTr="00DC60C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64"/>
        </w:trPr>
        <w:tc>
          <w:tcPr>
            <w:tcW w:w="1266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04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 на отчетный год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конец отчетного периода, нарастающим итогом</w:t>
            </w: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5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6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</w:tr>
      <w:tr w:rsidR="007D369E" w:rsidTr="00DC60C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МП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</w:t>
            </w:r>
          </w:p>
        </w:tc>
        <w:tc>
          <w:tcPr>
            <w:tcW w:w="4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04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5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6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rPr>
                <w:rFonts w:ascii="Times New Roman" w:hAnsi="Times New Roman"/>
                <w:sz w:val="16"/>
              </w:rPr>
            </w:pPr>
          </w:p>
        </w:tc>
      </w:tr>
      <w:tr w:rsidR="007D369E" w:rsidTr="00DC60C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D369E" w:rsidRDefault="007D369E">
            <w:pPr>
              <w:spacing w:before="40" w:after="4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D369E" w:rsidRDefault="007D369E">
            <w:pPr>
              <w:spacing w:before="40" w:after="4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302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Предупреждение и ликвидация последствий чрезвычайных ситуаций, реализация мер пожарной без-опасности </w:t>
            </w:r>
          </w:p>
        </w:tc>
      </w:tr>
      <w:tr w:rsidR="00F16508" w:rsidTr="00DC60C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84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Сокращение количества чрезвычайных ситуаций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6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16508" w:rsidTr="00935E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980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sz w:val="18"/>
                <w:szCs w:val="18"/>
              </w:rPr>
              <w:t>Снижение гибели и травматизма людей при чрезвычайных ситуациях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02AB1">
              <w:rPr>
                <w:rFonts w:ascii="Times New Roman" w:hAnsi="Times New Roman"/>
                <w:color w:val="000000"/>
                <w:sz w:val="17"/>
                <w:szCs w:val="17"/>
              </w:rPr>
              <w:t>%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6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16508" w:rsidTr="00935E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980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Процент охвата населения, проживающего в Селтинском районе своевременным оповещением и информированием, с использованием специальных технических средств оповещения и информирования населения, об угрозе возникновения или о возникновении чрезвычайных ситуаций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02AB1">
              <w:rPr>
                <w:rFonts w:ascii="Times New Roman" w:hAnsi="Times New Roman"/>
                <w:color w:val="000000"/>
                <w:sz w:val="17"/>
                <w:szCs w:val="17"/>
              </w:rPr>
              <w:t>%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6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16508" w:rsidTr="00935E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1277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sz w:val="18"/>
                <w:szCs w:val="18"/>
              </w:rPr>
            </w:pPr>
            <w:r w:rsidRPr="00FB04ED">
              <w:rPr>
                <w:sz w:val="18"/>
                <w:szCs w:val="18"/>
              </w:rPr>
              <w:t>4</w:t>
            </w:r>
          </w:p>
        </w:tc>
        <w:tc>
          <w:tcPr>
            <w:tcW w:w="20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B04ED" w:rsidRDefault="00F16508" w:rsidP="00F16508">
            <w:pPr>
              <w:rPr>
                <w:color w:val="000000"/>
                <w:sz w:val="18"/>
                <w:szCs w:val="18"/>
              </w:rPr>
            </w:pPr>
            <w:r w:rsidRPr="00FB04ED">
              <w:rPr>
                <w:color w:val="000000"/>
                <w:sz w:val="18"/>
                <w:szCs w:val="18"/>
              </w:rPr>
              <w:t>Отсутствие террористических актов, а также фактов экстремистской деятельности на территории Селтинского района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02AB1">
              <w:rPr>
                <w:rFonts w:ascii="Times New Roman" w:hAnsi="Times New Roman"/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6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16508" w:rsidTr="00F1650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1118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7C0301" w:rsidRDefault="00F16508" w:rsidP="00F16508">
            <w:pPr>
              <w:rPr>
                <w:sz w:val="18"/>
                <w:szCs w:val="18"/>
              </w:rPr>
            </w:pPr>
            <w:r w:rsidRPr="007C0301">
              <w:rPr>
                <w:sz w:val="18"/>
                <w:szCs w:val="18"/>
              </w:rPr>
              <w:t>5</w:t>
            </w:r>
          </w:p>
        </w:tc>
        <w:tc>
          <w:tcPr>
            <w:tcW w:w="20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Недопущение перехода ландшафтных пожаров на населенные пункты, недопущения материального ущерба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ед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 w:rsidRPr="00F02AB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 w:rsidRPr="00F02AB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6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16508" w:rsidTr="00F1650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40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sz w:val="18"/>
                <w:szCs w:val="18"/>
              </w:rPr>
            </w:pPr>
            <w:r w:rsidRPr="007C0301">
              <w:rPr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Сокращение гибели  людей на воде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F16508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ед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807226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807226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807226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807226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807226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807226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6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16508" w:rsidTr="00F1650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62"/>
        </w:trPr>
        <w:tc>
          <w:tcPr>
            <w:tcW w:w="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sz w:val="18"/>
                <w:szCs w:val="18"/>
              </w:rPr>
            </w:pPr>
            <w:r w:rsidRPr="007C0301">
              <w:rPr>
                <w:sz w:val="18"/>
                <w:szCs w:val="18"/>
              </w:rPr>
              <w:t>7</w:t>
            </w:r>
          </w:p>
        </w:tc>
        <w:tc>
          <w:tcPr>
            <w:tcW w:w="20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7C0301" w:rsidRDefault="00F16508" w:rsidP="00F16508">
            <w:pPr>
              <w:rPr>
                <w:color w:val="000000"/>
                <w:sz w:val="18"/>
                <w:szCs w:val="18"/>
              </w:rPr>
            </w:pPr>
            <w:r w:rsidRPr="007C0301">
              <w:rPr>
                <w:color w:val="000000"/>
                <w:sz w:val="18"/>
                <w:szCs w:val="18"/>
              </w:rPr>
              <w:t>Сокращение гибели  людей при пожарах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807226" w:rsidP="00F16508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ед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762069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762069" w:rsidP="00F16508">
            <w:pPr>
              <w:spacing w:before="40" w:after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762069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762069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762069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6508" w:rsidRPr="00F02AB1" w:rsidRDefault="00762069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6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6508" w:rsidRPr="00F02AB1" w:rsidRDefault="00F16508" w:rsidP="00F16508">
            <w:pPr>
              <w:spacing w:before="40" w:after="4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7D369E" w:rsidRDefault="007D369E" w:rsidP="007D369E">
      <w:pPr>
        <w:rPr>
          <w:rFonts w:ascii="Times New Roman" w:hAnsi="Times New Roman"/>
          <w:b/>
        </w:rPr>
        <w:sectPr w:rsidR="007D369E" w:rsidSect="007D369E">
          <w:type w:val="nextColumn"/>
          <w:pgSz w:w="16838" w:h="11906" w:orient="landscape"/>
          <w:pgMar w:top="426" w:right="1134" w:bottom="426" w:left="1134" w:header="720" w:footer="720" w:gutter="0"/>
          <w:cols w:space="720"/>
        </w:sectPr>
      </w:pPr>
    </w:p>
    <w:p w:rsidR="007D369E" w:rsidRDefault="007D369E" w:rsidP="007D369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Форма 2. </w:t>
      </w:r>
      <w:r>
        <w:rPr>
          <w:rFonts w:ascii="Times New Roman" w:hAnsi="Times New Roman"/>
        </w:rPr>
        <w:t xml:space="preserve">Отчет о выполнении основных мероприятий муниципальной программы </w:t>
      </w:r>
    </w:p>
    <w:p w:rsidR="007D369E" w:rsidRDefault="007D369E" w:rsidP="007D3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 о выполнении основных мероприятий муниципальной программы</w:t>
      </w:r>
    </w:p>
    <w:p w:rsidR="007D369E" w:rsidRDefault="007D369E" w:rsidP="007D3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состоянию на </w:t>
      </w:r>
      <w:r w:rsidR="00DC60C3">
        <w:rPr>
          <w:rFonts w:ascii="Times New Roman" w:hAnsi="Times New Roman"/>
          <w:b/>
        </w:rPr>
        <w:t>01.01.</w:t>
      </w:r>
      <w:r w:rsidR="00F16508">
        <w:rPr>
          <w:rFonts w:ascii="Times New Roman" w:hAnsi="Times New Roman"/>
          <w:b/>
        </w:rPr>
        <w:t>2025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7087"/>
      </w:tblGrid>
      <w:tr w:rsidR="007D369E" w:rsidTr="007D369E">
        <w:tc>
          <w:tcPr>
            <w:tcW w:w="3686" w:type="dxa"/>
            <w:hideMark/>
          </w:tcPr>
          <w:p w:rsidR="007D369E" w:rsidRDefault="007D369E">
            <w:pPr>
              <w:spacing w:before="40" w:after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7D369E" w:rsidRDefault="007D369E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</w:t>
            </w:r>
          </w:p>
        </w:tc>
      </w:tr>
    </w:tbl>
    <w:p w:rsidR="007D369E" w:rsidRDefault="007D369E" w:rsidP="007D369E">
      <w:pPr>
        <w:rPr>
          <w:rFonts w:ascii="Times New Roman" w:hAnsi="Times New Roman"/>
        </w:rPr>
      </w:pPr>
    </w:p>
    <w:tbl>
      <w:tblPr>
        <w:tblW w:w="1545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18"/>
        <w:gridCol w:w="474"/>
        <w:gridCol w:w="400"/>
        <w:gridCol w:w="2403"/>
        <w:gridCol w:w="1416"/>
        <w:gridCol w:w="1275"/>
        <w:gridCol w:w="1275"/>
        <w:gridCol w:w="2271"/>
        <w:gridCol w:w="3396"/>
        <w:gridCol w:w="1647"/>
      </w:tblGrid>
      <w:tr w:rsidR="007D369E" w:rsidRPr="00762069" w:rsidTr="00762069">
        <w:trPr>
          <w:trHeight w:val="20"/>
        </w:trPr>
        <w:tc>
          <w:tcPr>
            <w:tcW w:w="176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7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339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164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7D369E" w:rsidRPr="00762069" w:rsidTr="00762069">
        <w:trPr>
          <w:trHeight w:val="20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4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762069" w:rsidRDefault="007D369E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20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Основное мероприятие Предупреждение чрезвычайных ситуаций на территории муниципального района».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62069" w:rsidRPr="00762069" w:rsidTr="00762069">
        <w:trPr>
          <w:trHeight w:val="722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Осуществлять мероприятия по подготовке  и поддержанию в готовности необходимых сил и средств для защиты населения и территорий района от чрезвычайных ситуаций: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- разработка и принятие нормативно-правовых актов по организации работы и функционирования Селтинского звена Удмуртской территориальной подсистемы РСЧС с целью защиты населения и территорий от чрезвычайных ситуаций,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- создание резервов финансовых и материальных ресурсов для ликвидации чрезвычайных ситуаций;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Администрация Селтинского района, начальники территориальных отделов Администрации</w:t>
            </w:r>
          </w:p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Повысит эффективности сил и средств районного звена УТП РСЧС, привлекаемых для ликвидации пожаров и чрезвычайных ситуаций на 50%;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Чрезвычайных ситуаций в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 не зарегистрировано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В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г. материальные резервы остались на уровне 2023г - 440 тыс.руб.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Финансовые резервы отдельной строкой в бюджете не планировались.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Финансирование осуществлялось по программе «Безопасность»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62069" w:rsidRPr="00762069" w:rsidTr="00762069">
        <w:trPr>
          <w:trHeight w:val="123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Организация обучение населения способам защиты и действиям в чрезвычайных ситуациях.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 xml:space="preserve">- для председателей комиссий по чрезвычайным ситуациям, руководителей органов местного самоуправления и специалистов, специально уполномоченных по вопросам защиты от чрезвычайных ситуаций выделение финансов 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для возмещения командировочных расходов по повышению квалификации не реже одного раза в 5 лет.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- контроль за организацией укомплектования учебно-консультационных пунктов в сельских поселениях учебными пособиями, памятками, листовками и буклетами.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Помощник Главы по ГО и ЧС и мобилизационной работе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Повысит эффективность управления силами районного звена УТП РСЧС 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Обучение руководящего состава Селтинского района проведено ГОУ</w:t>
            </w:r>
            <w:r w:rsidR="00F246A2">
              <w:rPr>
                <w:rFonts w:ascii="Times New Roman" w:hAnsi="Times New Roman"/>
                <w:sz w:val="18"/>
                <w:szCs w:val="18"/>
              </w:rPr>
              <w:t xml:space="preserve"> ДПО «УМЦ УР» выездным методом 23     октября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2069">
              <w:rPr>
                <w:rFonts w:ascii="Times New Roman" w:hAnsi="Times New Roman"/>
                <w:bCs/>
                <w:sz w:val="18"/>
                <w:szCs w:val="18"/>
              </w:rPr>
              <w:t xml:space="preserve">обучено </w:t>
            </w:r>
            <w:r w:rsidR="00F246A2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76206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246A2">
              <w:rPr>
                <w:rFonts w:ascii="Times New Roman" w:hAnsi="Times New Roman"/>
                <w:bCs/>
                <w:sz w:val="18"/>
                <w:szCs w:val="18"/>
              </w:rPr>
              <w:t xml:space="preserve">67 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должностных лиц и специалистов ГО и районного звена УТП РСЧС</w:t>
            </w:r>
            <w:r w:rsidRPr="00762069">
              <w:rPr>
                <w:rFonts w:ascii="Times New Roman" w:hAnsi="Times New Roman"/>
                <w:bCs/>
                <w:sz w:val="18"/>
                <w:szCs w:val="18"/>
              </w:rPr>
              <w:t xml:space="preserve">  Селтинского района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. Периодичность обучения 5 лет .</w:t>
            </w: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На территории района для обучения неработающего населения создан 1 УКП с.Селты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Организация планирования, подготовки и проведения эвакуации населения, материальных  ценностей, а также размещения их в Селтинском районе в  военное время и при возникновении чрезвычайных ситуаций природного и техногенного характера. 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Администрация Селтинского района, начальники территориальных отделов Администрации</w:t>
            </w:r>
          </w:p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Своевременная эвакуация граждан снизит гибель и травматизм людей при чрезвычайных ситуациях природного и техногенного характера, а так же при опасностях, возникающих при ведении военных действий или вследствие этих действий на 50%.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  <w:u w:val="single"/>
              </w:rPr>
              <w:t>Планирование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План ГО утвержден в 2020г. приложения по эвакуации в плане откорректированы на 01.01.202</w:t>
            </w:r>
            <w:r w:rsidR="00F246A2"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г.  В течении года приложения к эвакуации корректировались дважды в связи с изменениями в планах г.Ижевска числа эвакуированных.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2069">
              <w:rPr>
                <w:rFonts w:ascii="Times New Roman" w:hAnsi="Times New Roman"/>
                <w:sz w:val="18"/>
                <w:szCs w:val="18"/>
                <w:u w:val="single"/>
              </w:rPr>
              <w:t>Подготовка</w:t>
            </w:r>
          </w:p>
          <w:p w:rsidR="00F246A2" w:rsidRPr="00F246A2" w:rsidRDefault="00762069" w:rsidP="00F24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в 202</w:t>
            </w:r>
            <w:r w:rsidR="00F246A2"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г </w:t>
            </w:r>
            <w:r w:rsidR="00F246A2" w:rsidRPr="00F246A2">
              <w:rPr>
                <w:rFonts w:ascii="Times New Roman" w:hAnsi="Times New Roman"/>
                <w:sz w:val="18"/>
                <w:szCs w:val="18"/>
              </w:rPr>
              <w:t>проведено 56 тренировок, из-них: по плану 2 КШУ, 2 командно-штабных тренировки, 4 тактико-специальных учений(в организациях), руководителями образовательных учреждений проведено  48 объектовых тренировок.</w:t>
            </w:r>
          </w:p>
          <w:p w:rsidR="00762069" w:rsidRPr="00762069" w:rsidRDefault="00F246A2" w:rsidP="00F24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6A2">
              <w:rPr>
                <w:rFonts w:ascii="Times New Roman" w:hAnsi="Times New Roman"/>
                <w:sz w:val="18"/>
                <w:szCs w:val="18"/>
              </w:rPr>
              <w:t>ПСЧ-38 проведено с организациями района 68 практических занятий и тренировок по пожарной безопасности.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Осуществлять в установленном порядке сбор и обмен информацией в области защиты населения и территорий от чрезвычайных ситуаций: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- обеспечить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ситуаций,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-приобретение и установка  средств оповещения населения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Администрация Селтинского района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Время на оповещение руководящего состава районного звена Удмуртской территориальной подсистемы Российской системы предупреждения и ликвидации чрезвычайных ситуаций (УТП РСЧС) и населения о возникновении (об угрозе возникновения) чрезвычайных ситуаций (ЧС), связанных с крупными пожарами, ЧС природного и техногенного характера,  сократиться в 2 раза.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Сбор и обмен информацией в области защиты населения и территорий от чрезвычайных ситуаций осуществляет ЕДДС в круглосуточном режиме.</w:t>
            </w: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 xml:space="preserve">Оповещение населения осуществляется </w:t>
            </w:r>
            <w:r w:rsidR="002627F6">
              <w:rPr>
                <w:rFonts w:ascii="Times New Roman" w:hAnsi="Times New Roman"/>
                <w:sz w:val="18"/>
                <w:szCs w:val="18"/>
              </w:rPr>
              <w:t>по Региональной системе оповещения и Муниципальной.</w:t>
            </w: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27F6" w:rsidRDefault="002627F6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2627F6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2627F6">
              <w:rPr>
                <w:rFonts w:ascii="Times New Roman" w:hAnsi="Times New Roman"/>
                <w:sz w:val="18"/>
                <w:szCs w:val="18"/>
              </w:rPr>
              <w:t>приобретение и установка  средств оповещения населения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МСО не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проводилось</w:t>
            </w: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 xml:space="preserve">УР установлено 7 сирен новой региональной системы оповещения в с.Селты 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2627F6">
        <w:trPr>
          <w:trHeight w:val="857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Организация и оснащение оперативной группы администрации Селтинского района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Администрация Селтинского района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Повысит эффективность управления силами районного звена УТП РСЧС на месте возникновения  ЧС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2627F6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В соответствии с программой и сметой на  ГО , ЧС  оснащение оперативной группы выполнено на 70 %. В 202</w:t>
            </w:r>
            <w:r w:rsidR="002627F6"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 финансовые средства не выделялись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Основное мероприятие  Организация и осуществление мероприятий по мобилизационной, гражданской обороне и защите населения и территории муниципального района от чрезвычайных ситуаций 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Помощник Главы по ГО и ЧС и МР, начальники территориальных отделов Администрации</w:t>
            </w:r>
          </w:p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2627F6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Организация подготовки и обучения населения в области  гражданской обороны; 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Разработка и принятие нормативно-правовых актов по организации работы по гражданской обороне, созданию сил и средств ГО;                                                             Мероприятия по обеспечению населения средствами защиты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Помощник Главы по ГО и ЧС и мобилизационной работе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Население района выработает алгоритм действий по мерам защиты от оружия массового поражения, что позволит уменьшить безвозвратные и санитарные потери на 30%.   Повысит эффективность сил и средств ГО . 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По ГО принято участие во всероссийском учении</w:t>
            </w:r>
            <w:r w:rsidR="002627F6">
              <w:rPr>
                <w:rFonts w:ascii="Times New Roman" w:hAnsi="Times New Roman"/>
                <w:sz w:val="18"/>
                <w:szCs w:val="18"/>
              </w:rPr>
              <w:t xml:space="preserve"> в октябре 2024г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НПА в 2023 не издавалось</w:t>
            </w:r>
          </w:p>
          <w:p w:rsidR="00762069" w:rsidRPr="00762069" w:rsidRDefault="00762069" w:rsidP="002627F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В 202</w:t>
            </w:r>
            <w:r w:rsidR="002627F6"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г. проведены мероприятия по устранению замечаний по 3-м  ПРУ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Организация мероприятий по профилактике терроризма и экстремизма, а также  минимизациии (или) ликвидации последствий проявлений терроризма и экстремизма на территории муниципального района.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Помощник Главы по ГО и ЧС и МР, начальники территориальных отделов Администрации</w:t>
            </w:r>
          </w:p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Повысит эффективность сил и средств районного звена УТП РСЧС по действиям при угрозе или совершения террористических актов. Население выработает навыки защиты  от террористических актов 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pStyle w:val="ac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На 202</w:t>
            </w:r>
            <w:r w:rsidR="002627F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г. утвержден план антитеррористических мероприятий АТК, в соответствии с которым проведены 4 заседания АТК .</w:t>
            </w:r>
          </w:p>
          <w:p w:rsidR="00762069" w:rsidRPr="00762069" w:rsidRDefault="00762069" w:rsidP="007201C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Проводятся в постоянном режиме мероприятия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 по исполнению мероприятий</w:t>
            </w:r>
            <w:r w:rsidRPr="0076206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«Комплексного плана противодействия идеологии терроризма в Российской Федерации на 2018-202</w:t>
            </w:r>
            <w:r w:rsidR="002627F6">
              <w:rPr>
                <w:rFonts w:ascii="Times New Roman" w:hAnsi="Times New Roman"/>
                <w:sz w:val="18"/>
                <w:szCs w:val="18"/>
              </w:rPr>
              <w:t>8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 годы на территории Селтинского района. Ежегодно 2 раза в год рассматривается данный вопрос по исполнению плана на комиссии АТК</w:t>
            </w:r>
          </w:p>
          <w:p w:rsidR="00762069" w:rsidRPr="00762069" w:rsidRDefault="00762069" w:rsidP="007201C3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потенциальных объектах террористической угрозы образования, культуры, медицины, ММПЛ Селтинского района разработаны и актуализированы  паспорта безопасности  </w:t>
            </w: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антитеррористической защищенности объектов. 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Организация и осуществление мероприятий по мобилизационной подготовке 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Помощник Главы по ГО и ЧС и мобилизационной работе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Обеспечит устойчивое функционирование бюджетных организаций в военное время, а так же обеспечит постоянную готовность органа управления.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Проводилась совместно с военкоматом проведено 2 совещания комиссии по мобилизации, 4 тренировки по вопросам оповещения мобилизационной комиссии.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Основное мероприятие: 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Помощник Главы по ГО и ЧС и МР, начальники территориальных отделов Администрации</w:t>
            </w:r>
          </w:p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Организация разъяснительной и профилактической работы среди населения в целях предупреждения гибели людей, возникновения чрезвычайных ситуаций на водных объектах;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Помощник Главы по ГО и ЧС и МР,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Снизит гибель людей на водных объектах в летний и зимний период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 xml:space="preserve">Информация по безопасности отдыха на воде выставлена на сайте Администрации и и в социальных сетях, на информационных щитах в населенных пунктах района. Вопросы безопасности на водных объектах доводятся на сходах с населением. </w:t>
            </w:r>
          </w:p>
          <w:p w:rsidR="00762069" w:rsidRPr="00762069" w:rsidRDefault="00762069" w:rsidP="00131511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Подготовлено постановление Адм</w:t>
            </w:r>
            <w:r w:rsidR="002627F6">
              <w:rPr>
                <w:rFonts w:ascii="Times New Roman" w:hAnsi="Times New Roman"/>
                <w:sz w:val="18"/>
                <w:szCs w:val="18"/>
              </w:rPr>
              <w:t>инистрации Селтинского района №420</w:t>
            </w:r>
            <w:r w:rsidR="00131511">
              <w:rPr>
                <w:rFonts w:ascii="Times New Roman" w:hAnsi="Times New Roman"/>
                <w:sz w:val="18"/>
                <w:szCs w:val="18"/>
              </w:rPr>
              <w:t xml:space="preserve"> от 28 мая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31511"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 «О проведении месячника безопасности на водных объектах в летний период на территории Селтинского района в 202</w:t>
            </w:r>
            <w:r w:rsidR="002627F6"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г.» утверждался на июль-август 202</w:t>
            </w:r>
            <w:r w:rsidR="002627F6">
              <w:rPr>
                <w:rFonts w:ascii="Times New Roman" w:hAnsi="Times New Roman"/>
                <w:sz w:val="18"/>
                <w:szCs w:val="18"/>
              </w:rPr>
              <w:t>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г график должностных лиц по проведению ежедневного патрулирования двух несанкционированных мест для купания граждан на р.Кильмезь и одного несанкционированного места Центральный пруд в с.Селты. </w:t>
            </w:r>
            <w:r w:rsidR="002627F6">
              <w:rPr>
                <w:rFonts w:ascii="Times New Roman" w:hAnsi="Times New Roman"/>
                <w:sz w:val="18"/>
                <w:szCs w:val="18"/>
              </w:rPr>
              <w:t>Утоновших в 2024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г. не зарегистрировано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Проведение работы по установлению мест для массового отдыха, купания на водных объектах  совместно с органами государственного санитарно-эпидемиологического надзора, охраны природы, ГИМС.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Помощник Главы по ГО и ЧС и МР,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Обеспечит безопасность мест массового отдыха и купания граждан на водных объектах.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sz w:val="18"/>
                <w:szCs w:val="18"/>
              </w:rPr>
              <w:t>Подготовлено</w:t>
            </w:r>
            <w:r w:rsidR="002627F6">
              <w:rPr>
                <w:rFonts w:ascii="Times New Roman" w:hAnsi="Times New Roman"/>
                <w:sz w:val="18"/>
                <w:szCs w:val="18"/>
              </w:rPr>
              <w:t xml:space="preserve"> в июле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 место отдыха</w:t>
            </w:r>
            <w:r w:rsidR="002627F6">
              <w:rPr>
                <w:rFonts w:ascii="Times New Roman" w:hAnsi="Times New Roman"/>
                <w:sz w:val="18"/>
                <w:szCs w:val="18"/>
              </w:rPr>
              <w:t>(пляж)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 людей на водном объекте  в Селтинском районе на </w:t>
            </w:r>
            <w:r w:rsidR="002627F6">
              <w:rPr>
                <w:rFonts w:ascii="Times New Roman" w:hAnsi="Times New Roman"/>
                <w:sz w:val="18"/>
                <w:szCs w:val="18"/>
              </w:rPr>
              <w:t>Кировском пруду с.Селты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62069" w:rsidRPr="00762069" w:rsidRDefault="00762069" w:rsidP="00720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D205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131511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lastRenderedPageBreak/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4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: </w:t>
            </w:r>
            <w:r w:rsidRPr="00762069">
              <w:rPr>
                <w:rFonts w:ascii="Times New Roman" w:hAnsi="Times New Roman"/>
                <w:sz w:val="18"/>
                <w:szCs w:val="18"/>
              </w:rPr>
              <w:t>Организация мероприятий направленных на пожарную безопасность населенных пунктов , подверженных угрозе ландшафтных(природных) пожаров</w:t>
            </w: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Начальник территориального Управления и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623F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4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Устройство(обновление) противопожарных минерализованных полос вокруг населенных пунктов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Начальник территориального Управления и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Снижение угрозы распространения  пожаров на населенные пункты за счет опашки или создания минерализованных полос  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131511" w:rsidP="001315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Проведена опашка 7 населенных пунктов подверженных угрозе ландшафтных пожаров . Перехода огня на населенные пункты не зарегистрировано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5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Основное мероприятие : 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Начальник территориального Управления и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131511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623F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5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Обустройство(ремонт) пожарных водоисточников, водопроводов. Создание в целях пожаротушения условий для забора в любое время года воды из источников наружного водоснабжения;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Начальник территориального Управления и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Снижение количества пожаров с крупным материальным ущербом за счет снижения времени забора воды и повышения качества тушения пожаров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31511" w:rsidRDefault="0021137C" w:rsidP="00623F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Установлен </w:t>
            </w:r>
            <w:r w:rsidR="00131511">
              <w:rPr>
                <w:rFonts w:ascii="Times New Roman" w:hAnsi="Times New Roman"/>
                <w:sz w:val="18"/>
                <w:szCs w:val="18"/>
              </w:rPr>
              <w:t>1 водоисточник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31511">
              <w:rPr>
                <w:rFonts w:ascii="Times New Roman" w:hAnsi="Times New Roman"/>
                <w:sz w:val="18"/>
                <w:szCs w:val="18"/>
              </w:rPr>
              <w:t>резервуар</w:t>
            </w:r>
            <w:r>
              <w:rPr>
                <w:rFonts w:ascii="Times New Roman" w:hAnsi="Times New Roman"/>
                <w:sz w:val="18"/>
                <w:szCs w:val="18"/>
              </w:rPr>
              <w:t>) в</w:t>
            </w:r>
          </w:p>
          <w:p w:rsidR="00762069" w:rsidRDefault="00131511" w:rsidP="00623F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с.Селты </w:t>
            </w:r>
          </w:p>
          <w:p w:rsidR="00131511" w:rsidRDefault="0021137C" w:rsidP="00623F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Проведены </w:t>
            </w:r>
            <w:r w:rsidR="004674B8">
              <w:rPr>
                <w:rFonts w:ascii="Times New Roman" w:hAnsi="Times New Roman"/>
                <w:sz w:val="18"/>
                <w:szCs w:val="18"/>
              </w:rPr>
              <w:t xml:space="preserve">ремонт и замена </w:t>
            </w:r>
            <w:r w:rsidR="00131511">
              <w:rPr>
                <w:rFonts w:ascii="Times New Roman" w:hAnsi="Times New Roman"/>
                <w:sz w:val="18"/>
                <w:szCs w:val="18"/>
              </w:rPr>
              <w:t>11 гидрантов</w:t>
            </w:r>
            <w:r w:rsidR="004674B8">
              <w:rPr>
                <w:rFonts w:ascii="Times New Roman" w:hAnsi="Times New Roman"/>
                <w:sz w:val="18"/>
                <w:szCs w:val="18"/>
              </w:rPr>
              <w:t xml:space="preserve"> на водопроводах в районе</w:t>
            </w:r>
            <w:r w:rsidR="001315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1511" w:rsidRPr="00762069" w:rsidRDefault="004674B8" w:rsidP="004674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д. Колесур установлена </w:t>
            </w:r>
            <w:r w:rsidR="00131511">
              <w:rPr>
                <w:rFonts w:ascii="Times New Roman" w:hAnsi="Times New Roman"/>
                <w:sz w:val="18"/>
                <w:szCs w:val="18"/>
              </w:rPr>
              <w:t>Площадк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131511">
              <w:rPr>
                <w:rFonts w:ascii="Times New Roman" w:hAnsi="Times New Roman"/>
                <w:sz w:val="18"/>
                <w:szCs w:val="18"/>
              </w:rPr>
              <w:t xml:space="preserve"> с твердым покрыти</w:t>
            </w:r>
            <w:r>
              <w:rPr>
                <w:rFonts w:ascii="Times New Roman" w:hAnsi="Times New Roman"/>
                <w:sz w:val="18"/>
                <w:szCs w:val="18"/>
              </w:rPr>
              <w:t>ем для забора пожарными автомобилями воды с водоема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1663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5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Совершенствование(приобретение) материально-технического обеспечения добровольных пожарных. Социальное и экономическое стимулирование  участия граждан и организаций в добровольной пожарной охране.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Начальник территориального Управления и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За счет увеличения приобретения ПТВ добиться  локализации пожара на начальной стадии . Улучшение  качества участия граждан в профилактике и тушении пожаров 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Default="0021137C" w:rsidP="00623F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r w:rsidR="00131511">
              <w:rPr>
                <w:rFonts w:ascii="Times New Roman" w:hAnsi="Times New Roman"/>
                <w:sz w:val="18"/>
                <w:szCs w:val="18"/>
              </w:rPr>
              <w:t>5 мотопомп</w:t>
            </w:r>
          </w:p>
          <w:p w:rsidR="0021137C" w:rsidRDefault="0021137C" w:rsidP="00623F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Осуществлено материальное стимулирование добровольцев на сумму  101,500</w:t>
            </w:r>
            <w:r w:rsidR="004674B8">
              <w:rPr>
                <w:rFonts w:ascii="Times New Roman" w:hAnsi="Times New Roman"/>
                <w:sz w:val="18"/>
                <w:szCs w:val="18"/>
              </w:rPr>
              <w:t>т.р.</w:t>
            </w:r>
          </w:p>
          <w:p w:rsidR="00131511" w:rsidRPr="00762069" w:rsidRDefault="00131511" w:rsidP="00623F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5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Приобретение первичных средств пожаротушения на территории общего пользования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Начальник территориального Управления и начальники территориальных </w:t>
            </w: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При наличии первичных средств пожаротушения добиться  локализации пожара на начальной стадии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131511" w:rsidP="002113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21137C">
              <w:rPr>
                <w:rFonts w:ascii="Times New Roman" w:hAnsi="Times New Roman"/>
                <w:sz w:val="18"/>
                <w:szCs w:val="18"/>
              </w:rPr>
              <w:t xml:space="preserve">риобретено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21137C">
              <w:rPr>
                <w:rFonts w:ascii="Times New Roman" w:hAnsi="Times New Roman"/>
                <w:sz w:val="18"/>
                <w:szCs w:val="18"/>
              </w:rPr>
              <w:t xml:space="preserve">сумму </w:t>
            </w:r>
            <w:r>
              <w:rPr>
                <w:rFonts w:ascii="Times New Roman" w:hAnsi="Times New Roman"/>
                <w:sz w:val="18"/>
                <w:szCs w:val="18"/>
              </w:rPr>
              <w:t>139,45</w:t>
            </w:r>
            <w:r w:rsidR="0021137C">
              <w:rPr>
                <w:rFonts w:ascii="Times New Roman" w:hAnsi="Times New Roman"/>
                <w:sz w:val="18"/>
                <w:szCs w:val="18"/>
              </w:rPr>
              <w:t>т. руб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- 9 </w:t>
            </w:r>
            <w:r w:rsidR="0021137C">
              <w:rPr>
                <w:rFonts w:ascii="Times New Roman" w:hAnsi="Times New Roman"/>
                <w:sz w:val="18"/>
                <w:szCs w:val="18"/>
              </w:rPr>
              <w:t>пожарных р</w:t>
            </w:r>
            <w:r>
              <w:rPr>
                <w:rFonts w:ascii="Times New Roman" w:hAnsi="Times New Roman"/>
                <w:sz w:val="18"/>
                <w:szCs w:val="18"/>
              </w:rPr>
              <w:t>анц</w:t>
            </w:r>
            <w:r w:rsidR="0021137C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62069" w:rsidRPr="00762069" w:rsidTr="00762069">
        <w:trPr>
          <w:trHeight w:val="509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06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  <w:highlight w:val="yellow"/>
              </w:rPr>
              <w:t>5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4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spacing w:after="2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Организация противопожарной пропаганды, обучение населения мерам пожарной безопасности</w:t>
            </w:r>
          </w:p>
        </w:tc>
        <w:tc>
          <w:tcPr>
            <w:tcW w:w="14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jc w:val="center"/>
              <w:rPr>
                <w:rFonts w:ascii="Times New Roman" w:hAnsi="Times New Roman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Начальник территориального Управления и начальники территориальных отделов Администрации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069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7339BE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62069">
              <w:rPr>
                <w:rFonts w:ascii="Times New Roman" w:hAnsi="Times New Roman"/>
                <w:color w:val="000000"/>
                <w:sz w:val="17"/>
                <w:szCs w:val="17"/>
              </w:rPr>
              <w:t>Улучшение  качества участия граждан и организаций  в профилактической работы в жилом секторе.</w:t>
            </w:r>
          </w:p>
        </w:tc>
        <w:tc>
          <w:tcPr>
            <w:tcW w:w="3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Default="0021137C" w:rsidP="00623F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Приобретены </w:t>
            </w:r>
            <w:r w:rsidR="00131511">
              <w:rPr>
                <w:rFonts w:ascii="Times New Roman" w:hAnsi="Times New Roman"/>
                <w:sz w:val="18"/>
                <w:szCs w:val="18"/>
              </w:rPr>
              <w:t xml:space="preserve">Памятки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населения на сумму </w:t>
            </w:r>
            <w:r w:rsidR="00131511">
              <w:rPr>
                <w:rFonts w:ascii="Times New Roman" w:hAnsi="Times New Roman"/>
                <w:sz w:val="18"/>
                <w:szCs w:val="18"/>
              </w:rPr>
              <w:t>31,400</w:t>
            </w:r>
            <w:r>
              <w:rPr>
                <w:rFonts w:ascii="Times New Roman" w:hAnsi="Times New Roman"/>
                <w:sz w:val="18"/>
                <w:szCs w:val="18"/>
              </w:rPr>
              <w:t>т.р.</w:t>
            </w:r>
          </w:p>
          <w:p w:rsidR="00131511" w:rsidRPr="00762069" w:rsidRDefault="004674B8" w:rsidP="00623F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Приобретены </w:t>
            </w:r>
            <w:r w:rsidR="00131511">
              <w:rPr>
                <w:rFonts w:ascii="Times New Roman" w:hAnsi="Times New Roman"/>
                <w:sz w:val="18"/>
                <w:szCs w:val="18"/>
              </w:rPr>
              <w:t>Указатели пож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арных гидрантов на сумму </w:t>
            </w:r>
            <w:r w:rsidR="00131511">
              <w:rPr>
                <w:rFonts w:ascii="Times New Roman" w:hAnsi="Times New Roman"/>
                <w:sz w:val="18"/>
                <w:szCs w:val="18"/>
              </w:rPr>
              <w:t>27,560</w:t>
            </w:r>
            <w:r>
              <w:rPr>
                <w:rFonts w:ascii="Times New Roman" w:hAnsi="Times New Roman"/>
                <w:sz w:val="18"/>
                <w:szCs w:val="18"/>
              </w:rPr>
              <w:t>т.р.</w:t>
            </w:r>
          </w:p>
        </w:tc>
        <w:tc>
          <w:tcPr>
            <w:tcW w:w="1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62069" w:rsidRPr="00762069" w:rsidRDefault="00762069" w:rsidP="00CB5E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D369E" w:rsidRDefault="007D369E" w:rsidP="007D369E">
      <w:pPr>
        <w:rPr>
          <w:rFonts w:ascii="Times New Roman" w:hAnsi="Times New Roman"/>
        </w:rPr>
        <w:sectPr w:rsidR="007D369E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7D369E" w:rsidRDefault="007D369E" w:rsidP="007D369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Форма 5.</w:t>
      </w:r>
      <w:hyperlink r:id="rId8" w:history="1">
        <w:r>
          <w:rPr>
            <w:rStyle w:val="ad"/>
            <w:rFonts w:ascii="Times New Roman" w:hAnsi="Times New Roman"/>
            <w:szCs w:val="24"/>
          </w:rPr>
          <w:t>Отчет</w:t>
        </w:r>
      </w:hyperlink>
      <w:r>
        <w:rPr>
          <w:rFonts w:ascii="Times New Roman" w:hAnsi="Times New Roman"/>
          <w:szCs w:val="24"/>
        </w:rPr>
        <w:t xml:space="preserve"> об использовании бюджетных ассигнований бюджета муниципального района (городского округа) на реализацию муниципальной программы </w:t>
      </w:r>
    </w:p>
    <w:p w:rsidR="007D369E" w:rsidRDefault="007D369E" w:rsidP="007D369E">
      <w:pPr>
        <w:jc w:val="center"/>
        <w:rPr>
          <w:rFonts w:asciiTheme="minorHAnsi" w:hAnsiTheme="minorHAnsi"/>
          <w:b/>
          <w:szCs w:val="24"/>
        </w:rPr>
      </w:pPr>
    </w:p>
    <w:p w:rsidR="007D369E" w:rsidRDefault="00F761C7" w:rsidP="007D369E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7D369E">
          <w:rPr>
            <w:rStyle w:val="ad"/>
            <w:rFonts w:ascii="Times New Roman" w:hAnsi="Times New Roman"/>
            <w:b/>
            <w:szCs w:val="24"/>
          </w:rPr>
          <w:t>Отчет</w:t>
        </w:r>
      </w:hyperlink>
      <w:r w:rsidR="007D369E">
        <w:rPr>
          <w:rFonts w:ascii="Times New Roman" w:hAnsi="Times New Roman"/>
          <w:b/>
          <w:szCs w:val="24"/>
        </w:rPr>
        <w:t xml:space="preserve"> об использовании бюджетных ассигнований бюджета муниципального района (городского округа) </w:t>
      </w:r>
    </w:p>
    <w:p w:rsidR="007D369E" w:rsidRDefault="007D369E" w:rsidP="007D369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реализацию муниципальной программы</w:t>
      </w:r>
    </w:p>
    <w:p w:rsidR="007D369E" w:rsidRDefault="007D369E" w:rsidP="007D369E">
      <w:pPr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по состоянию на </w:t>
      </w:r>
      <w:r w:rsidR="001B30D0">
        <w:rPr>
          <w:rFonts w:ascii="Times New Roman" w:hAnsi="Times New Roman"/>
          <w:b/>
          <w:szCs w:val="24"/>
        </w:rPr>
        <w:t>01.01.</w:t>
      </w:r>
      <w:r w:rsidR="00F16508">
        <w:rPr>
          <w:rFonts w:ascii="Times New Roman" w:hAnsi="Times New Roman"/>
          <w:b/>
          <w:szCs w:val="24"/>
        </w:rPr>
        <w:t>2025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7D369E" w:rsidTr="007D369E">
        <w:tc>
          <w:tcPr>
            <w:tcW w:w="3686" w:type="dxa"/>
            <w:hideMark/>
          </w:tcPr>
          <w:p w:rsidR="007D369E" w:rsidRDefault="007D369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7D369E" w:rsidRDefault="007D369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</w:tr>
    </w:tbl>
    <w:p w:rsidR="007D369E" w:rsidRDefault="007D369E" w:rsidP="007D369E">
      <w:pPr>
        <w:rPr>
          <w:rFonts w:ascii="Times New Roman" w:hAnsi="Times New Roman"/>
          <w:szCs w:val="24"/>
        </w:rPr>
      </w:pPr>
    </w:p>
    <w:tbl>
      <w:tblPr>
        <w:tblW w:w="1498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535"/>
        <w:gridCol w:w="475"/>
        <w:gridCol w:w="565"/>
        <w:gridCol w:w="236"/>
        <w:gridCol w:w="1843"/>
        <w:gridCol w:w="2107"/>
        <w:gridCol w:w="644"/>
        <w:gridCol w:w="510"/>
        <w:gridCol w:w="440"/>
        <w:gridCol w:w="846"/>
        <w:gridCol w:w="486"/>
        <w:gridCol w:w="1315"/>
        <w:gridCol w:w="1134"/>
        <w:gridCol w:w="1134"/>
        <w:gridCol w:w="1120"/>
        <w:gridCol w:w="1120"/>
      </w:tblGrid>
      <w:tr w:rsidR="007D369E" w:rsidRPr="00AB76B6" w:rsidTr="00AB76B6">
        <w:trPr>
          <w:trHeight w:val="499"/>
          <w:tblHeader/>
          <w:jc w:val="center"/>
        </w:trPr>
        <w:tc>
          <w:tcPr>
            <w:tcW w:w="2286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92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8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7D369E" w:rsidRPr="00AB76B6" w:rsidTr="00AB76B6">
        <w:trPr>
          <w:trHeight w:val="620"/>
          <w:tblHeader/>
          <w:jc w:val="center"/>
        </w:trPr>
        <w:tc>
          <w:tcPr>
            <w:tcW w:w="2286" w:type="dxa"/>
            <w:gridSpan w:val="5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4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7D369E" w:rsidRPr="00AB76B6" w:rsidTr="00547EAF">
        <w:trPr>
          <w:trHeight w:val="345"/>
          <w:tblHeader/>
          <w:jc w:val="center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D369E" w:rsidRPr="00AB76B6" w:rsidRDefault="007D36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4975" w:rsidRPr="00AB76B6" w:rsidTr="00547EAF">
        <w:trPr>
          <w:cantSplit/>
          <w:trHeight w:val="1134"/>
          <w:jc w:val="center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 w:rsidP="00733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04975" w:rsidRPr="00AB76B6" w:rsidRDefault="0080497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Предупреждение и ликвидация последствий чрезвычайных ситуаций, реализация мер пожарной без-опасности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hideMark/>
          </w:tcPr>
          <w:p w:rsidR="00804975" w:rsidRPr="00AB76B6" w:rsidRDefault="00804975" w:rsidP="008D1B4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Селтинского района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0497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0497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0497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extDirection w:val="btLr"/>
          </w:tcPr>
          <w:p w:rsidR="00804975" w:rsidRPr="00AB76B6" w:rsidRDefault="00547EAF" w:rsidP="00547EA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EAF">
              <w:rPr>
                <w:rFonts w:ascii="Times New Roman" w:hAnsi="Times New Roman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04975" w:rsidP="00C13B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547EAF" w:rsidP="00F537F3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EAF">
              <w:rPr>
                <w:rFonts w:ascii="Times New Roman" w:hAnsi="Times New Roman"/>
                <w:color w:val="000000"/>
                <w:sz w:val="18"/>
                <w:szCs w:val="18"/>
              </w:rPr>
              <w:t>2246,2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547EAF" w:rsidP="00F537F3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2246,2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547EAF" w:rsidRDefault="00855FD3" w:rsidP="00855FD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47EAF">
              <w:rPr>
                <w:rFonts w:ascii="Times New Roman" w:hAnsi="Times New Roman"/>
                <w:bCs/>
                <w:sz w:val="18"/>
                <w:szCs w:val="18"/>
              </w:rPr>
              <w:t>2 219,6</w:t>
            </w:r>
          </w:p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547EAF" w:rsidRDefault="00804975" w:rsidP="00547E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EAF">
              <w:rPr>
                <w:rFonts w:ascii="Times New Roman" w:hAnsi="Times New Roman"/>
                <w:sz w:val="18"/>
                <w:szCs w:val="18"/>
              </w:rPr>
              <w:t>9</w:t>
            </w:r>
            <w:r w:rsidR="00547EAF" w:rsidRPr="00547EAF">
              <w:rPr>
                <w:rFonts w:ascii="Times New Roman" w:hAnsi="Times New Roman"/>
                <w:sz w:val="18"/>
                <w:szCs w:val="18"/>
              </w:rPr>
              <w:t>8,82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547EAF" w:rsidRDefault="00804975" w:rsidP="00547E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EAF">
              <w:rPr>
                <w:rFonts w:ascii="Times New Roman" w:hAnsi="Times New Roman"/>
                <w:sz w:val="18"/>
                <w:szCs w:val="18"/>
              </w:rPr>
              <w:t>9</w:t>
            </w:r>
            <w:r w:rsidR="00547EAF" w:rsidRPr="00547EAF">
              <w:rPr>
                <w:rFonts w:ascii="Times New Roman" w:hAnsi="Times New Roman"/>
                <w:sz w:val="18"/>
                <w:szCs w:val="18"/>
              </w:rPr>
              <w:t>8</w:t>
            </w:r>
            <w:r w:rsidRPr="00547EAF">
              <w:rPr>
                <w:rFonts w:ascii="Times New Roman" w:hAnsi="Times New Roman"/>
                <w:sz w:val="18"/>
                <w:szCs w:val="18"/>
              </w:rPr>
              <w:t>,</w:t>
            </w:r>
            <w:r w:rsidR="00547EAF" w:rsidRPr="00547EAF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</w:tr>
      <w:tr w:rsidR="00804975" w:rsidRPr="00AB76B6" w:rsidTr="00547EAF">
        <w:trPr>
          <w:trHeight w:val="1469"/>
          <w:jc w:val="center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 w:rsidP="00733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 w:rsidP="00733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04975" w:rsidRPr="00AB76B6" w:rsidRDefault="0080497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04975" w:rsidRPr="00AB76B6" w:rsidRDefault="00804975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04975" w:rsidRPr="00AB76B6" w:rsidRDefault="00855FD3" w:rsidP="00547EAF">
            <w:pPr>
              <w:rPr>
                <w:rFonts w:ascii="Times New Roman" w:hAnsi="Times New Roman"/>
                <w:sz w:val="18"/>
                <w:szCs w:val="18"/>
              </w:rPr>
            </w:pPr>
            <w:r w:rsidRPr="00855FD3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мероприятий,направленных на защиту населения и территорий от чрезвычайных ситуаций природного и техногенного характера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04975" w:rsidRPr="00AB76B6" w:rsidRDefault="00804975" w:rsidP="007339BE">
            <w:pPr>
              <w:ind w:right="-26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Администрация Селтинского района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extDirection w:val="btLr"/>
          </w:tcPr>
          <w:p w:rsidR="00804975" w:rsidRPr="00AB76B6" w:rsidRDefault="00855FD3" w:rsidP="00547EAF">
            <w:pPr>
              <w:ind w:left="113" w:right="11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5FD3">
              <w:rPr>
                <w:rFonts w:ascii="Times New Roman" w:hAnsi="Times New Roman"/>
                <w:bCs/>
                <w:sz w:val="18"/>
                <w:szCs w:val="18"/>
              </w:rPr>
              <w:t>0610100000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855FD3" w:rsidRDefault="00855FD3" w:rsidP="00855FD3">
            <w:pPr>
              <w:rPr>
                <w:rFonts w:ascii="Times New Roman" w:hAnsi="Times New Roman"/>
                <w:sz w:val="18"/>
                <w:szCs w:val="18"/>
              </w:rPr>
            </w:pPr>
            <w:r w:rsidRPr="00855FD3"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804975" w:rsidRPr="00AB76B6" w:rsidRDefault="00804975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55FD3" w:rsidP="00C13BB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 w:rsidR="00547EAF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55FD3" w:rsidP="00C13BB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 w:rsidR="00547EAF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55FD3" w:rsidP="00733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186,8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855FD3" w:rsidP="00C13B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47EAF">
              <w:rPr>
                <w:rFonts w:ascii="Times New Roman" w:hAnsi="Times New Roman"/>
                <w:color w:val="000000"/>
                <w:sz w:val="18"/>
                <w:szCs w:val="18"/>
              </w:rPr>
              <w:t>92,93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975" w:rsidRPr="00AB76B6" w:rsidRDefault="00547EAF" w:rsidP="00B2726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7EAF">
              <w:rPr>
                <w:rFonts w:ascii="Times New Roman" w:hAnsi="Times New Roman"/>
                <w:sz w:val="18"/>
                <w:szCs w:val="18"/>
              </w:rPr>
              <w:t>92,93</w:t>
            </w:r>
          </w:p>
        </w:tc>
      </w:tr>
      <w:tr w:rsidR="00855FD3" w:rsidRPr="00AB76B6" w:rsidTr="00547EAF">
        <w:trPr>
          <w:trHeight w:val="1161"/>
          <w:jc w:val="center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7339B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733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855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</w:tcPr>
          <w:p w:rsidR="00855FD3" w:rsidRPr="00AB76B6" w:rsidRDefault="00855FD3" w:rsidP="007339BE">
            <w:pPr>
              <w:ind w:left="113" w:right="11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55FD3" w:rsidRPr="00AB76B6" w:rsidRDefault="00855FD3" w:rsidP="00547EAF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 xml:space="preserve">первичных мер пожарной безопасности 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55FD3" w:rsidRPr="00AB76B6" w:rsidRDefault="00855FD3" w:rsidP="007339BE">
            <w:pPr>
              <w:ind w:right="-26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 xml:space="preserve">территориальные отделы Администрации  Селтинского района 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733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extDirection w:val="btLr"/>
          </w:tcPr>
          <w:p w:rsidR="00855FD3" w:rsidRPr="00AB76B6" w:rsidRDefault="00547EAF" w:rsidP="007339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7EAF">
              <w:rPr>
                <w:rFonts w:ascii="Times New Roman" w:hAnsi="Times New Roman"/>
                <w:sz w:val="18"/>
                <w:szCs w:val="18"/>
              </w:rPr>
              <w:t>0610200000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547EAF" w:rsidP="007339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547EAF" w:rsidP="00F537F3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2045,2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A90822" w:rsidP="00547EA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2045,2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AB76B6" w:rsidRDefault="00855FD3" w:rsidP="007339BE">
            <w:pPr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1755,80274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547EAF" w:rsidRDefault="00547EAF" w:rsidP="006202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EAF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55FD3" w:rsidRPr="00547EAF" w:rsidRDefault="00547EAF" w:rsidP="00F537F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EAF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</w:tr>
    </w:tbl>
    <w:p w:rsidR="007D369E" w:rsidRDefault="007D369E" w:rsidP="007D369E">
      <w:pPr>
        <w:rPr>
          <w:rFonts w:ascii="Times New Roman" w:hAnsi="Times New Roman"/>
          <w:szCs w:val="24"/>
        </w:rPr>
      </w:pPr>
    </w:p>
    <w:p w:rsidR="007D369E" w:rsidRDefault="007D369E" w:rsidP="007D369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>
        <w:rPr>
          <w:rFonts w:ascii="Times New Roman" w:hAnsi="Times New Roman"/>
          <w:b/>
          <w:szCs w:val="24"/>
        </w:rPr>
        <w:lastRenderedPageBreak/>
        <w:t>Форма 6.</w:t>
      </w:r>
      <w:hyperlink r:id="rId10" w:history="1">
        <w:r>
          <w:rPr>
            <w:rStyle w:val="ad"/>
            <w:rFonts w:ascii="Times New Roman" w:hAnsi="Times New Roman"/>
            <w:szCs w:val="24"/>
          </w:rPr>
          <w:t>Отчет</w:t>
        </w:r>
      </w:hyperlink>
      <w:r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 </w:t>
      </w:r>
    </w:p>
    <w:p w:rsidR="007D369E" w:rsidRDefault="00F761C7" w:rsidP="007D369E">
      <w:pPr>
        <w:jc w:val="center"/>
        <w:rPr>
          <w:rFonts w:ascii="Times New Roman" w:hAnsi="Times New Roman"/>
          <w:b/>
          <w:szCs w:val="24"/>
        </w:rPr>
      </w:pPr>
      <w:hyperlink r:id="rId11" w:history="1">
        <w:r w:rsidR="007D369E">
          <w:rPr>
            <w:rStyle w:val="ad"/>
            <w:rFonts w:ascii="Times New Roman" w:hAnsi="Times New Roman"/>
            <w:b/>
            <w:szCs w:val="24"/>
          </w:rPr>
          <w:t>Отчет</w:t>
        </w:r>
      </w:hyperlink>
      <w:r w:rsidR="007D369E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7D369E" w:rsidRDefault="007D369E" w:rsidP="007D369E">
      <w:pPr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по состоянию на </w:t>
      </w:r>
      <w:r w:rsidR="00DC60C3">
        <w:rPr>
          <w:rFonts w:ascii="Times New Roman" w:hAnsi="Times New Roman"/>
          <w:b/>
          <w:szCs w:val="24"/>
        </w:rPr>
        <w:t>01.01.202</w:t>
      </w:r>
      <w:r w:rsidR="00F16508">
        <w:rPr>
          <w:rFonts w:ascii="Times New Roman" w:hAnsi="Times New Roman"/>
          <w:b/>
          <w:szCs w:val="24"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7D369E" w:rsidTr="007D369E">
        <w:tc>
          <w:tcPr>
            <w:tcW w:w="3686" w:type="dxa"/>
            <w:hideMark/>
          </w:tcPr>
          <w:p w:rsidR="007D369E" w:rsidRDefault="007D369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7D369E" w:rsidRDefault="007D369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</w:tr>
    </w:tbl>
    <w:p w:rsidR="007D369E" w:rsidRDefault="007D369E" w:rsidP="007D369E">
      <w:pPr>
        <w:rPr>
          <w:rFonts w:ascii="Times New Roman" w:hAnsi="Times New Roman"/>
          <w:szCs w:val="24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7D369E" w:rsidRPr="00907374" w:rsidTr="007D369E">
        <w:trPr>
          <w:trHeight w:val="908"/>
          <w:tblHeader/>
        </w:trPr>
        <w:tc>
          <w:tcPr>
            <w:tcW w:w="15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5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7D369E" w:rsidRPr="00907374" w:rsidTr="007D369E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7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D369E" w:rsidRPr="00907374" w:rsidRDefault="007D369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Pr="00907374" w:rsidRDefault="007D36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822" w:rsidRPr="00907374" w:rsidTr="00E32ACA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0822" w:rsidRPr="00907374" w:rsidRDefault="00A90822" w:rsidP="00A9082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374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0822" w:rsidRPr="00907374" w:rsidRDefault="00A90822" w:rsidP="00A9082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37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0822" w:rsidRPr="00907374" w:rsidRDefault="00A90822" w:rsidP="00A908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Предупреждение и ликвидация последствий чрезвычайных ситуаций, реализация мер пожарной без-опасности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90822" w:rsidRPr="00907374" w:rsidRDefault="00A90822" w:rsidP="00A908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374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90822" w:rsidRPr="00AB76B6" w:rsidRDefault="00A90822" w:rsidP="00A908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2246,2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90822" w:rsidRPr="00547EAF" w:rsidRDefault="00A90822" w:rsidP="00A9082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47EAF">
              <w:rPr>
                <w:rFonts w:ascii="Times New Roman" w:hAnsi="Times New Roman"/>
                <w:bCs/>
                <w:sz w:val="18"/>
                <w:szCs w:val="18"/>
              </w:rPr>
              <w:t>2 219,6</w:t>
            </w:r>
          </w:p>
          <w:p w:rsidR="00A90822" w:rsidRPr="00AB76B6" w:rsidRDefault="00A90822" w:rsidP="00A908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90822" w:rsidRPr="00907374" w:rsidRDefault="00A90822" w:rsidP="00A908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98,82</w:t>
            </w:r>
            <w:bookmarkStart w:id="0" w:name="_GoBack"/>
            <w:bookmarkEnd w:id="0"/>
          </w:p>
        </w:tc>
      </w:tr>
      <w:tr w:rsidR="00A859C7" w:rsidRPr="00907374" w:rsidTr="00DB0C0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бюджет муниципального района (городского округа)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59C7" w:rsidRPr="00907374" w:rsidRDefault="00634FEE" w:rsidP="000C1DA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59C7" w:rsidRPr="00907374" w:rsidRDefault="00A859C7" w:rsidP="000C1DA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59C7" w:rsidRPr="00907374" w:rsidRDefault="00A859C7" w:rsidP="000C1DA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59C7" w:rsidRPr="00907374" w:rsidTr="00D95EA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 w:rsidP="00DC60C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9C7" w:rsidRPr="00907374" w:rsidTr="00EC7904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59C7" w:rsidRPr="00907374" w:rsidRDefault="00634FEE" w:rsidP="00A908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59C7" w:rsidRPr="00907374" w:rsidRDefault="00634FEE" w:rsidP="00A908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186,8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59C7" w:rsidRPr="00907374" w:rsidRDefault="00634FEE" w:rsidP="00A908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92,93</w:t>
            </w:r>
          </w:p>
        </w:tc>
      </w:tr>
      <w:tr w:rsidR="00A90822" w:rsidRPr="00907374" w:rsidTr="00007576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0822" w:rsidRPr="00907374" w:rsidRDefault="00A90822" w:rsidP="00A908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0822" w:rsidRPr="00907374" w:rsidRDefault="00A90822" w:rsidP="00A908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0822" w:rsidRPr="00907374" w:rsidRDefault="00A90822" w:rsidP="00A908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90822" w:rsidRPr="00907374" w:rsidRDefault="00A90822" w:rsidP="00A90822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90822" w:rsidRPr="00AB76B6" w:rsidRDefault="00A90822" w:rsidP="00A908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2045,2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90822" w:rsidRPr="00AB76B6" w:rsidRDefault="00A90822" w:rsidP="00A908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76B6">
              <w:rPr>
                <w:rFonts w:ascii="Times New Roman" w:hAnsi="Times New Roman"/>
                <w:sz w:val="18"/>
                <w:szCs w:val="18"/>
              </w:rPr>
              <w:t>1755,80274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90822" w:rsidRPr="00907374" w:rsidRDefault="00A90822" w:rsidP="00A90822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</w:tr>
      <w:tr w:rsidR="00A859C7" w:rsidRPr="00907374" w:rsidTr="007D369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9C7" w:rsidRPr="00907374" w:rsidTr="007D369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9C7" w:rsidRPr="00907374" w:rsidTr="0062024B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  <w:r w:rsidRPr="00907374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9C7" w:rsidRPr="00907374" w:rsidTr="007D369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  <w:r w:rsidRPr="00907374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9C7" w:rsidRPr="00907374" w:rsidTr="007D369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9C7" w:rsidRPr="00907374" w:rsidTr="007D369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  <w:r w:rsidRPr="00907374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9C7" w:rsidRPr="00907374" w:rsidTr="007D369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59C7" w:rsidRPr="00907374" w:rsidRDefault="00A859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859C7" w:rsidRPr="00907374" w:rsidRDefault="00A859C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073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859C7" w:rsidRPr="00907374" w:rsidRDefault="00A859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D369E" w:rsidRDefault="007D369E" w:rsidP="007D369E">
      <w:pPr>
        <w:rPr>
          <w:rFonts w:ascii="Times New Roman" w:hAnsi="Times New Roman"/>
          <w:szCs w:val="24"/>
        </w:rPr>
        <w:sectPr w:rsidR="007D369E">
          <w:pgSz w:w="16838" w:h="11906" w:orient="landscape"/>
          <w:pgMar w:top="1418" w:right="1418" w:bottom="851" w:left="1418" w:header="709" w:footer="709" w:gutter="0"/>
          <w:cols w:space="720"/>
        </w:sectPr>
      </w:pPr>
    </w:p>
    <w:p w:rsidR="007D369E" w:rsidRDefault="007D369E" w:rsidP="007D369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Форма 7. </w:t>
      </w:r>
      <w:hyperlink r:id="rId12" w:history="1">
        <w:r>
          <w:rPr>
            <w:rStyle w:val="ad"/>
            <w:rFonts w:ascii="Times New Roman" w:hAnsi="Times New Roman"/>
            <w:szCs w:val="24"/>
          </w:rPr>
          <w:t>Сведения</w:t>
        </w:r>
      </w:hyperlink>
      <w:r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 </w:t>
      </w:r>
    </w:p>
    <w:p w:rsidR="007D369E" w:rsidRDefault="007D369E" w:rsidP="007D369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Сведения о внесенных за отчетный период изменениях в муниципальную программу</w:t>
      </w:r>
    </w:p>
    <w:p w:rsidR="007D369E" w:rsidRDefault="007D369E" w:rsidP="007D369E">
      <w:pPr>
        <w:spacing w:before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состоянию на </w:t>
      </w:r>
      <w:r w:rsidR="0062024B">
        <w:rPr>
          <w:rFonts w:ascii="Times New Roman" w:hAnsi="Times New Roman"/>
          <w:b/>
          <w:szCs w:val="24"/>
        </w:rPr>
        <w:t>01.01.</w:t>
      </w:r>
      <w:r w:rsidR="00F16508">
        <w:rPr>
          <w:rFonts w:ascii="Times New Roman" w:hAnsi="Times New Roman"/>
          <w:b/>
          <w:szCs w:val="24"/>
        </w:rPr>
        <w:t>2025</w:t>
      </w:r>
      <w:r w:rsidR="00B2726B">
        <w:rPr>
          <w:rFonts w:ascii="Times New Roman" w:hAnsi="Times New Roman"/>
          <w:b/>
          <w:szCs w:val="24"/>
        </w:rPr>
        <w:t>г</w:t>
      </w:r>
    </w:p>
    <w:p w:rsidR="007D369E" w:rsidRDefault="007D369E" w:rsidP="007D369E">
      <w:pPr>
        <w:spacing w:before="12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7D369E" w:rsidTr="007D369E">
        <w:tc>
          <w:tcPr>
            <w:tcW w:w="3686" w:type="dxa"/>
            <w:hideMark/>
          </w:tcPr>
          <w:p w:rsidR="007D369E" w:rsidRDefault="007D369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7D369E" w:rsidRPr="00B2726B" w:rsidRDefault="00B2726B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B2726B">
              <w:rPr>
                <w:rFonts w:ascii="Times New Roman" w:hAnsi="Times New Roman"/>
                <w:szCs w:val="24"/>
              </w:rPr>
              <w:t>6.1 Предупреждение и ликвидация последствий чрезвычайных ситуаций, реализация мер пожарной безопасности.</w:t>
            </w:r>
          </w:p>
        </w:tc>
      </w:tr>
    </w:tbl>
    <w:p w:rsidR="007D369E" w:rsidRDefault="007D369E" w:rsidP="007D369E">
      <w:pPr>
        <w:rPr>
          <w:rFonts w:ascii="Times New Roman" w:hAnsi="Times New Roman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D369E" w:rsidTr="007D369E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Суть изменений (краткое изложение)</w:t>
            </w:r>
          </w:p>
        </w:tc>
      </w:tr>
      <w:tr w:rsidR="007D369E" w:rsidTr="0062024B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D369E" w:rsidRDefault="007D369E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D369E" w:rsidRDefault="00A10051" w:rsidP="00A10051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</w:t>
            </w:r>
            <w:r w:rsidR="0062024B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Селтинского района</w:t>
            </w:r>
          </w:p>
          <w:p w:rsidR="00A10051" w:rsidRDefault="00A10051" w:rsidP="00A10051">
            <w:pPr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D369E" w:rsidRPr="004222DC" w:rsidRDefault="00A10051">
            <w:pPr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24.01.2024г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D369E" w:rsidRPr="004222DC" w:rsidRDefault="00A10051" w:rsidP="00B2726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48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10051" w:rsidRDefault="00A10051" w:rsidP="00A10051">
            <w:pPr>
              <w:rPr>
                <w:rFonts w:ascii="Times New Roman" w:eastAsiaTheme="minorEastAsia" w:hAnsi="Times New Roman"/>
                <w:sz w:val="20"/>
              </w:rPr>
            </w:pPr>
            <w:r w:rsidRPr="00A10051">
              <w:rPr>
                <w:rFonts w:ascii="Times New Roman" w:eastAsiaTheme="minorEastAsia" w:hAnsi="Times New Roman"/>
                <w:sz w:val="20"/>
              </w:rPr>
              <w:t>О внесении   изменений в муниципальную программу «Безопасность» на 2015-2020,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(с изменениями от 17.01.2024 №32</w:t>
            </w:r>
            <w:r>
              <w:rPr>
                <w:rFonts w:ascii="Times New Roman" w:eastAsiaTheme="minorEastAsia" w:hAnsi="Times New Roman"/>
                <w:sz w:val="20"/>
              </w:rPr>
              <w:t>)</w:t>
            </w:r>
          </w:p>
          <w:p w:rsidR="00A10051" w:rsidRPr="00A10051" w:rsidRDefault="00A10051" w:rsidP="00A10051">
            <w:pPr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 xml:space="preserve"> </w:t>
            </w:r>
            <w:r w:rsidRPr="00A10051">
              <w:rPr>
                <w:rFonts w:ascii="Times New Roman" w:eastAsiaTheme="minorEastAsia" w:hAnsi="Times New Roman"/>
                <w:sz w:val="20"/>
              </w:rPr>
              <w:t>во исполнение постановлений Правительства Удмуртской Республики:</w:t>
            </w:r>
          </w:p>
          <w:p w:rsidR="00A10051" w:rsidRPr="00A10051" w:rsidRDefault="00A10051" w:rsidP="00A10051">
            <w:pPr>
              <w:rPr>
                <w:rFonts w:ascii="Times New Roman" w:eastAsiaTheme="minorEastAsia" w:hAnsi="Times New Roman"/>
                <w:sz w:val="20"/>
              </w:rPr>
            </w:pPr>
            <w:r w:rsidRPr="00A10051">
              <w:rPr>
                <w:rFonts w:ascii="Times New Roman" w:eastAsiaTheme="minorEastAsia" w:hAnsi="Times New Roman"/>
                <w:sz w:val="20"/>
              </w:rPr>
              <w:t xml:space="preserve"> - от 20.09.2023г. №631 «Об утверждении Порядка предоставления иных межбюджетных трансфертов из бюджета Удмуртской Республики бюджетам муниципальных образований в Удмуртской Республике на организацию отдельных мероприятий, направленных на пожарную безопасность населенных пунктов, подверженных угрозе ландшафтных  (природных) пожаров»,</w:t>
            </w:r>
          </w:p>
          <w:p w:rsidR="007D369E" w:rsidRPr="004222DC" w:rsidRDefault="00A10051" w:rsidP="00A10051">
            <w:pPr>
              <w:rPr>
                <w:rFonts w:ascii="Times New Roman" w:eastAsiaTheme="minorEastAsia" w:hAnsi="Times New Roman"/>
                <w:sz w:val="20"/>
              </w:rPr>
            </w:pPr>
            <w:r w:rsidRPr="00A10051">
              <w:rPr>
                <w:rFonts w:ascii="Times New Roman" w:eastAsiaTheme="minorEastAsia" w:hAnsi="Times New Roman"/>
                <w:sz w:val="20"/>
              </w:rPr>
              <w:t>- от 23.11.2023г №762 «Об утверждении государственной программы Удмуртской Республики «Защита населения и территорий от чрезвычайных ситуаций, обеспечение пожарной безопасности людей на водных объектах в Удмуртской Республике»</w:t>
            </w:r>
          </w:p>
        </w:tc>
      </w:tr>
    </w:tbl>
    <w:p w:rsidR="00047857" w:rsidRPr="007A267D" w:rsidRDefault="00047857" w:rsidP="00763B7F">
      <w:pPr>
        <w:rPr>
          <w:rFonts w:ascii="Times New Roman" w:hAnsi="Times New Roman"/>
        </w:rPr>
      </w:pPr>
    </w:p>
    <w:sectPr w:rsidR="00047857" w:rsidRPr="007A267D" w:rsidSect="00A80502">
      <w:pgSz w:w="16840" w:h="11907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C7" w:rsidRDefault="00F761C7" w:rsidP="00807226">
      <w:r>
        <w:separator/>
      </w:r>
    </w:p>
  </w:endnote>
  <w:endnote w:type="continuationSeparator" w:id="0">
    <w:p w:rsidR="00F761C7" w:rsidRDefault="00F761C7" w:rsidP="0080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C7" w:rsidRDefault="00F761C7" w:rsidP="00807226">
      <w:r>
        <w:separator/>
      </w:r>
    </w:p>
  </w:footnote>
  <w:footnote w:type="continuationSeparator" w:id="0">
    <w:p w:rsidR="00F761C7" w:rsidRDefault="00F761C7" w:rsidP="0080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B2C88"/>
    <w:multiLevelType w:val="multilevel"/>
    <w:tmpl w:val="1B781B0C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5C457A7F"/>
    <w:multiLevelType w:val="multilevel"/>
    <w:tmpl w:val="6A82932C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2" w15:restartNumberingAfterBreak="0">
    <w:nsid w:val="67894249"/>
    <w:multiLevelType w:val="multilevel"/>
    <w:tmpl w:val="41D4C4F0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  <w:rPr>
        <w:b w:val="0"/>
        <w:i w:val="0"/>
        <w:sz w:val="26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57"/>
    <w:rsid w:val="00006B18"/>
    <w:rsid w:val="00013D7E"/>
    <w:rsid w:val="00032613"/>
    <w:rsid w:val="00047857"/>
    <w:rsid w:val="00070AAA"/>
    <w:rsid w:val="000F4BF2"/>
    <w:rsid w:val="00100AC4"/>
    <w:rsid w:val="00102ECE"/>
    <w:rsid w:val="00125143"/>
    <w:rsid w:val="00131511"/>
    <w:rsid w:val="00197CC1"/>
    <w:rsid w:val="001B30D0"/>
    <w:rsid w:val="001D5AA8"/>
    <w:rsid w:val="0021137C"/>
    <w:rsid w:val="00216EBF"/>
    <w:rsid w:val="00217996"/>
    <w:rsid w:val="0022594E"/>
    <w:rsid w:val="002627F6"/>
    <w:rsid w:val="002A56F2"/>
    <w:rsid w:val="002C5162"/>
    <w:rsid w:val="002C6734"/>
    <w:rsid w:val="003348A2"/>
    <w:rsid w:val="003668A5"/>
    <w:rsid w:val="003A049B"/>
    <w:rsid w:val="003B55C2"/>
    <w:rsid w:val="004222DC"/>
    <w:rsid w:val="004674B8"/>
    <w:rsid w:val="00492C17"/>
    <w:rsid w:val="004A7E8F"/>
    <w:rsid w:val="004B5724"/>
    <w:rsid w:val="004D05BF"/>
    <w:rsid w:val="005061CD"/>
    <w:rsid w:val="00515C51"/>
    <w:rsid w:val="0053243B"/>
    <w:rsid w:val="00547EAF"/>
    <w:rsid w:val="00552975"/>
    <w:rsid w:val="0056173B"/>
    <w:rsid w:val="0056303E"/>
    <w:rsid w:val="00577064"/>
    <w:rsid w:val="00593DBF"/>
    <w:rsid w:val="00601F04"/>
    <w:rsid w:val="0061538A"/>
    <w:rsid w:val="0062024B"/>
    <w:rsid w:val="00623F03"/>
    <w:rsid w:val="0062671C"/>
    <w:rsid w:val="00634FEE"/>
    <w:rsid w:val="0063655A"/>
    <w:rsid w:val="00690D36"/>
    <w:rsid w:val="006F35BE"/>
    <w:rsid w:val="00702B7C"/>
    <w:rsid w:val="00762069"/>
    <w:rsid w:val="00763B7F"/>
    <w:rsid w:val="007A267D"/>
    <w:rsid w:val="007C2B36"/>
    <w:rsid w:val="007D369E"/>
    <w:rsid w:val="00804975"/>
    <w:rsid w:val="00807226"/>
    <w:rsid w:val="00811B34"/>
    <w:rsid w:val="008469DD"/>
    <w:rsid w:val="00855FD3"/>
    <w:rsid w:val="0086344C"/>
    <w:rsid w:val="008634DE"/>
    <w:rsid w:val="00873566"/>
    <w:rsid w:val="008A1960"/>
    <w:rsid w:val="008B2191"/>
    <w:rsid w:val="008D100B"/>
    <w:rsid w:val="008D16F9"/>
    <w:rsid w:val="00903E24"/>
    <w:rsid w:val="00907374"/>
    <w:rsid w:val="00943EAE"/>
    <w:rsid w:val="00992156"/>
    <w:rsid w:val="009B64FA"/>
    <w:rsid w:val="00A038A3"/>
    <w:rsid w:val="00A10051"/>
    <w:rsid w:val="00A12958"/>
    <w:rsid w:val="00A1483E"/>
    <w:rsid w:val="00A80502"/>
    <w:rsid w:val="00A859C7"/>
    <w:rsid w:val="00A90822"/>
    <w:rsid w:val="00AA6AE9"/>
    <w:rsid w:val="00AB76B6"/>
    <w:rsid w:val="00AC0B98"/>
    <w:rsid w:val="00AF2001"/>
    <w:rsid w:val="00B1085A"/>
    <w:rsid w:val="00B2726B"/>
    <w:rsid w:val="00BB04C9"/>
    <w:rsid w:val="00BB6074"/>
    <w:rsid w:val="00C0186B"/>
    <w:rsid w:val="00C13BBC"/>
    <w:rsid w:val="00C60D43"/>
    <w:rsid w:val="00CA42E5"/>
    <w:rsid w:val="00CB5E3A"/>
    <w:rsid w:val="00CE3270"/>
    <w:rsid w:val="00CE60B5"/>
    <w:rsid w:val="00CF118D"/>
    <w:rsid w:val="00D20512"/>
    <w:rsid w:val="00D408B8"/>
    <w:rsid w:val="00D56470"/>
    <w:rsid w:val="00D94C4C"/>
    <w:rsid w:val="00D95EAA"/>
    <w:rsid w:val="00DA1706"/>
    <w:rsid w:val="00DC60C3"/>
    <w:rsid w:val="00DD15C0"/>
    <w:rsid w:val="00DD74F6"/>
    <w:rsid w:val="00E05144"/>
    <w:rsid w:val="00E27300"/>
    <w:rsid w:val="00E30F7C"/>
    <w:rsid w:val="00ED7036"/>
    <w:rsid w:val="00F02AB1"/>
    <w:rsid w:val="00F16508"/>
    <w:rsid w:val="00F246A2"/>
    <w:rsid w:val="00F24707"/>
    <w:rsid w:val="00F537F3"/>
    <w:rsid w:val="00F67B16"/>
    <w:rsid w:val="00F761C7"/>
    <w:rsid w:val="00FB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179B-CCD0-4776-A0A8-1AE35BFE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p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pPr>
      <w:spacing w:before="240" w:after="360"/>
      <w:outlineLvl w:val="1"/>
    </w:pPr>
    <w:rPr>
      <w:b/>
      <w:sz w:val="26"/>
    </w:rPr>
  </w:style>
  <w:style w:type="paragraph" w:styleId="3">
    <w:name w:val="heading 3"/>
    <w:pPr>
      <w:spacing w:before="200" w:line="276" w:lineRule="auto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</w:style>
  <w:style w:type="paragraph" w:styleId="a4">
    <w:name w:val="Title"/>
    <w:pPr>
      <w:jc w:val="center"/>
    </w:pPr>
    <w:rPr>
      <w:b/>
      <w:sz w:val="22"/>
      <w:u w:val="single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Normal">
    <w:name w:val="ConsPlusNormal"/>
    <w:rPr>
      <w:rFonts w:ascii="Arial" w:hAnsi="Arial"/>
    </w:rPr>
  </w:style>
  <w:style w:type="paragraph" w:styleId="20">
    <w:name w:val="toc 2"/>
    <w:pPr>
      <w:spacing w:after="100"/>
      <w:ind w:left="240"/>
    </w:pPr>
    <w:rPr>
      <w:sz w:val="24"/>
    </w:rPr>
  </w:style>
  <w:style w:type="paragraph" w:styleId="21">
    <w:name w:val="Body Text 2"/>
    <w:pPr>
      <w:ind w:firstLine="567"/>
      <w:jc w:val="both"/>
    </w:pPr>
    <w:rPr>
      <w:sz w:val="24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10">
    <w:name w:val="Абзац списка1"/>
    <w:pPr>
      <w:ind w:left="720"/>
    </w:pPr>
    <w:rPr>
      <w:rFonts w:ascii="Times New Roman" w:hAnsi="Times New Roman"/>
      <w:sz w:val="24"/>
    </w:rPr>
  </w:style>
  <w:style w:type="paragraph" w:customStyle="1" w:styleId="12">
    <w:name w:val="Абзац списка12"/>
    <w:pPr>
      <w:spacing w:after="200" w:line="276" w:lineRule="auto"/>
      <w:ind w:left="720"/>
    </w:pPr>
    <w:rPr>
      <w:sz w:val="22"/>
    </w:rPr>
  </w:style>
  <w:style w:type="paragraph" w:styleId="a5">
    <w:name w:val="Balloon Text"/>
    <w:rPr>
      <w:rFonts w:ascii="Tahoma" w:hAnsi="Tahoma"/>
      <w:sz w:val="16"/>
    </w:rPr>
  </w:style>
  <w:style w:type="paragraph" w:styleId="a6">
    <w:name w:val="header"/>
    <w:rPr>
      <w:sz w:val="24"/>
    </w:rPr>
  </w:style>
  <w:style w:type="paragraph" w:styleId="a7">
    <w:name w:val="footer"/>
    <w:rPr>
      <w:sz w:val="24"/>
    </w:rPr>
  </w:style>
  <w:style w:type="paragraph" w:customStyle="1" w:styleId="221">
    <w:name w:val="заголовок 221"/>
    <w:pPr>
      <w:spacing w:after="360" w:line="360" w:lineRule="auto"/>
    </w:pPr>
    <w:rPr>
      <w:color w:val="365F91"/>
      <w:sz w:val="32"/>
    </w:rPr>
  </w:style>
  <w:style w:type="paragraph" w:styleId="11">
    <w:name w:val="toc 1"/>
    <w:pPr>
      <w:spacing w:after="100"/>
    </w:pPr>
    <w:rPr>
      <w:sz w:val="24"/>
    </w:rPr>
  </w:style>
  <w:style w:type="paragraph" w:customStyle="1" w:styleId="13">
    <w:name w:val="Заголовок оглавления1"/>
    <w:pPr>
      <w:spacing w:before="480" w:line="276" w:lineRule="auto"/>
    </w:pPr>
    <w:rPr>
      <w:rFonts w:ascii="Cambria" w:hAnsi="Cambria"/>
      <w:b/>
      <w:color w:val="365F91"/>
      <w:sz w:val="28"/>
    </w:rPr>
  </w:style>
  <w:style w:type="paragraph" w:customStyle="1" w:styleId="14">
    <w:name w:val="Без интервала1"/>
    <w:rPr>
      <w:sz w:val="22"/>
    </w:rPr>
  </w:style>
  <w:style w:type="paragraph" w:customStyle="1" w:styleId="15">
    <w:name w:val="Стиль1"/>
    <w:pPr>
      <w:spacing w:before="360" w:after="240"/>
      <w:ind w:left="502" w:right="709" w:hanging="360"/>
      <w:jc w:val="center"/>
    </w:pPr>
    <w:rPr>
      <w:rFonts w:ascii="Times New Roman" w:hAnsi="Times New Roman"/>
      <w:b/>
      <w:sz w:val="24"/>
    </w:rPr>
  </w:style>
  <w:style w:type="paragraph" w:styleId="30">
    <w:name w:val="Body Text 3"/>
    <w:pPr>
      <w:spacing w:after="120" w:line="276" w:lineRule="auto"/>
    </w:pPr>
    <w:rPr>
      <w:sz w:val="16"/>
    </w:rPr>
  </w:style>
  <w:style w:type="paragraph" w:styleId="31">
    <w:name w:val="toc 3"/>
    <w:pPr>
      <w:spacing w:after="100" w:line="276" w:lineRule="auto"/>
      <w:ind w:left="440"/>
    </w:pPr>
    <w:rPr>
      <w:sz w:val="22"/>
    </w:rPr>
  </w:style>
  <w:style w:type="paragraph" w:styleId="a8">
    <w:name w:val="endnote text"/>
  </w:style>
  <w:style w:type="paragraph" w:styleId="a9">
    <w:name w:val="Body Text"/>
    <w:pPr>
      <w:spacing w:after="120"/>
    </w:pPr>
    <w:rPr>
      <w:sz w:val="24"/>
    </w:rPr>
  </w:style>
  <w:style w:type="paragraph" w:styleId="aa">
    <w:name w:val="Body Text Indent"/>
    <w:pPr>
      <w:spacing w:after="120" w:line="276" w:lineRule="auto"/>
      <w:ind w:left="283"/>
    </w:pPr>
  </w:style>
  <w:style w:type="paragraph" w:styleId="ab">
    <w:name w:val="Subtitle"/>
    <w:pPr>
      <w:numPr>
        <w:ilvl w:val="1"/>
      </w:numPr>
    </w:pPr>
    <w:rPr>
      <w:rFonts w:ascii="Cambria" w:hAnsi="Cambria"/>
      <w:i/>
      <w:color w:val="4F81BD"/>
      <w:sz w:val="24"/>
    </w:rPr>
  </w:style>
  <w:style w:type="paragraph" w:styleId="ac">
    <w:name w:val="Normal (Web)"/>
    <w:rPr>
      <w:sz w:val="24"/>
    </w:rPr>
  </w:style>
  <w:style w:type="paragraph" w:customStyle="1" w:styleId="Iauiue">
    <w:name w:val="Iau?iue"/>
    <w:rsid w:val="00CE60B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styleId="ad">
    <w:name w:val="Hyperlink"/>
    <w:basedOn w:val="a0"/>
    <w:uiPriority w:val="99"/>
    <w:semiHidden/>
    <w:unhideWhenUsed/>
    <w:rsid w:val="007D3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1B7F-1A13-4D1A-AE29-6387CC34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отчетности Спорт .docx</vt:lpstr>
    </vt:vector>
  </TitlesOfParts>
  <Company/>
  <LinksUpToDate>false</LinksUpToDate>
  <CharactersWithSpaces>19627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отчетности Спорт .docx</dc:title>
  <dc:creator>1</dc:creator>
  <cp:lastModifiedBy>RePack by Diakov</cp:lastModifiedBy>
  <cp:revision>2</cp:revision>
  <cp:lastPrinted>2018-05-08T07:23:00Z</cp:lastPrinted>
  <dcterms:created xsi:type="dcterms:W3CDTF">2025-03-19T04:29:00Z</dcterms:created>
  <dcterms:modified xsi:type="dcterms:W3CDTF">2025-03-19T04:29:00Z</dcterms:modified>
</cp:coreProperties>
</file>