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spacing w:before="0"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 w:val="0"/>
          <w:bCs w:val="0"/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-20954</wp:posOffset>
                </wp:positionV>
                <wp:extent cx="485775" cy="711835"/>
                <wp:effectExtent l="0" t="0" r="0" b="0"/>
                <wp:wrapNone/>
                <wp:docPr id="1" name="_x0000_s10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5.60pt;mso-position-horizontal:absolute;mso-position-vertical-relative:text;margin-top:-1.65pt;mso-position-vertical:absolute;width:38.25pt;height:56.0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636"/>
        <w:numPr>
          <w:ilvl w:val="2"/>
          <w:numId w:val="0"/>
        </w:numPr>
        <w:ind w:left="720" w:hanging="720"/>
        <w:jc w:val="center"/>
        <w:spacing w:before="0" w:after="0" w:line="240" w:lineRule="auto"/>
        <w:tabs>
          <w:tab w:val="num" w:pos="72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6"/>
        <w:ind w:left="432" w:hanging="432"/>
        <w:jc w:val="center"/>
        <w:spacing w:before="0" w:after="0" w:line="240" w:lineRule="auto"/>
        <w:tabs>
          <w:tab w:val="num" w:pos="43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0065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851"/>
        <w:gridCol w:w="4394"/>
      </w:tblGrid>
      <w:tr>
        <w:tblPrEx/>
        <w:trPr>
          <w:trHeight w:val="13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Администрация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Удмуртской Республики»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(Администрация Селтинского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450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«Удмурт Элькунысь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Сьӧлта ёрос 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 округ»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Администрациез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(Сьӧлта ёрослэн Администрациез)</w:t>
            </w:r>
            <w:r>
              <w:rPr>
                <w:b/>
                <w:sz w:val="28"/>
                <w:szCs w:val="28"/>
                <w:lang w:val="ru-RU"/>
              </w:rPr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ПОСТАНОВЛЕНИЕ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659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65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31 января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202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</w:tbl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643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>
              <w:rPr>
                <w:sz w:val="28"/>
                <w:szCs w:val="28"/>
                <w:lang w:val="ru-RU"/>
              </w:rPr>
              <w:t xml:space="preserve">80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80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с. Селты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4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8439" w:type="dxa"/>
        <w:jc w:val="center"/>
        <w:tblInd w:w="106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3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39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принятия муниципальными служащими Администрации муниципального образования «Муниципальный округ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Удмуртской Республики»,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4" w:type="dxa"/>
            <w:vAlign w:val="top"/>
            <w:textDirection w:val="lrTb"/>
            <w:noWrap w:val="false"/>
          </w:tcPr>
          <w:p>
            <w:pPr>
              <w:pStyle w:val="634"/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 марта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года № 25-ФЗ «О муниципальной службе в Российской Федерации», Указом Главы Удмуртской Республики от 8 апреля 2016 года № 74 «Об утверждении Положения о порядке принятия лицами, замещающими отдельные государственные должности Удмуртской Республики,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ьные должности государственной гражданской службы Удмуртской Республики,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4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54" w:type="dxa"/>
                  <w:vAlign w:val="top"/>
                  <w:textDirection w:val="lrTb"/>
                  <w:noWrap w:val="false"/>
                </w:tcPr>
                <w:p>
                  <w:pPr>
                    <w:pStyle w:val="634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Администрация муниципального образования «Муниципальный округ Селтинский район Удмуртской Республики»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634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0"/>
                      <w:sz w:val="28"/>
                      <w:szCs w:val="28"/>
                    </w:rPr>
                    <w:t xml:space="preserve">постановляет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634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50"/>
              <w:numPr>
                <w:ilvl w:val="0"/>
                <w:numId w:val="2"/>
              </w:numPr>
              <w:ind w:left="0" w:firstLine="709"/>
              <w:tabs>
                <w:tab w:val="left" w:pos="85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прилагаемое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\l "P38"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принятия муниципальными служащими Администрации муниципального образования «Муниципальный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numPr>
                <w:ilvl w:val="0"/>
                <w:numId w:val="2"/>
              </w:numPr>
              <w:ind w:left="0" w:firstLine="709"/>
              <w:tabs>
                <w:tab w:val="left" w:pos="85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на руководителя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Главы, Совета депутатов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Ившину Ю.Л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9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Настоящее постановление вступает в силу с момента принятия.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5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0" w:type="dxa"/>
            <w:vAlign w:val="top"/>
            <w:textDirection w:val="lrTb"/>
            <w:noWrap w:val="false"/>
          </w:tcPr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34"/>
              <w:ind w:right="-5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Протопопов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31.01.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80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2"/>
        <w:jc w:val="center"/>
        <w:rPr>
          <w:rFonts w:ascii="Times New Roman" w:hAnsi="Times New Roman" w:cs="Times New Roman"/>
        </w:rPr>
      </w:pPr>
      <w:r/>
      <w:bookmarkStart w:id="0" w:name="P38"/>
      <w:r/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tabs>
          <w:tab w:val="left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HYPERLINK \l "P38"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принятия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1" w:name="P47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принятия с разрешения Главы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наделенных правом юридического лиц,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почетных и специальных званий, наград и иных знаков отличия (за и</w:t>
      </w:r>
      <w:r>
        <w:rPr>
          <w:rFonts w:ascii="Times New Roman" w:hAnsi="Times New Roman" w:cs="Times New Roman"/>
          <w:sz w:val="28"/>
          <w:szCs w:val="28"/>
        </w:rPr>
        <w:t xml:space="preserve">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если в их должностные обязанности входит взаимодействие с указанными организациями и объединениями.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2" w:name="P50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служащие, указанные в пункте 1 настоящего Положения, получившие звание, награду либо уведомленные иностранным государством,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представляют в кадровую службу Администрации  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(далее – кадровая служба)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"P87"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</w:t>
      </w:r>
      <w:r>
        <w:rPr>
          <w:rFonts w:ascii="Times New Roman" w:hAnsi="Times New Roman" w:cs="Times New Roman"/>
          <w:sz w:val="28"/>
          <w:szCs w:val="28"/>
        </w:rPr>
        <w:t xml:space="preserve">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Положению.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служба в течение десяти рабочих дней направляет ходатайство Главе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(далее – Глава района).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служащий, отказавшийся от звания, награды, в течение трех рабочих дней представляет в кадровую службу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"P147"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</w:t>
      </w:r>
      <w:r>
        <w:rPr>
          <w:rFonts w:ascii="Times New Roman" w:hAnsi="Times New Roman" w:cs="Times New Roman"/>
          <w:sz w:val="28"/>
          <w:szCs w:val="28"/>
        </w:rPr>
        <w:t xml:space="preserve">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 к настоящему Положению.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служба в течение десяти рабочих дней направляет уведомление Главе района.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3" w:name="P5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4. Муниципальный служащий, получивший звание, награду до принятия Главой района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их получения.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"P50"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</w:t>
      </w:r>
      <w:bookmarkStart w:id="4" w:name="_Hlt451418188"/>
      <w:r/>
      <w:bookmarkStart w:id="5" w:name="_Hlt451418189"/>
      <w:r>
        <w:rPr>
          <w:rFonts w:ascii="Times New Roman" w:hAnsi="Times New Roman" w:cs="Times New Roman"/>
          <w:sz w:val="28"/>
          <w:szCs w:val="28"/>
        </w:rPr>
        <w:t xml:space="preserve">т</w:t>
      </w:r>
      <w:bookmarkEnd w:id="4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ах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"P54"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рассмотрения Главой района ходатайств, информирование лица, представившего (направившего) ходатайство Главе района, о решении, принятом Главой района по результатам рассмотрения ходатайств, а также учет уведомлений осуществляются кадровой службой.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удовлетворения Главой района ходатайства муниципального служащего,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"P54"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кадровая служба в течение десяти рабочих дней передает такому муниципальному служащему оригиналы документов к званию, награду и оригиналы документов к 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отказа Главы района в удовлетворении ходатайства муниципального служащего,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"P54"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кадровая служба в течение десяти рабочих дней сообщает такому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</w:t>
      </w:r>
      <w:r>
        <w:rPr>
          <w:rFonts w:ascii="Times New Roman" w:hAnsi="Times New Roman" w:cs="Times New Roman"/>
        </w:rPr>
      </w:r>
    </w:p>
    <w:p>
      <w:pPr>
        <w:pStyle w:val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"P38"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Положению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порядке принятия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замещаемая должность)</w:t>
      </w:r>
      <w:r>
        <w:rPr>
          <w:rFonts w:ascii="Times New Roman" w:hAnsi="Times New Roman" w:cs="Times New Roman"/>
        </w:rPr>
      </w:r>
    </w:p>
    <w:p>
      <w:pPr>
        <w:pStyle w:val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принять почетное или специальное звание,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награду или иной знак отличия иностранного государства,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иного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или другой организации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81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6309"/>
      </w:tblGrid>
      <w:tr>
        <w:tblPrEx/>
        <w:trPr>
          <w:trHeight w:val="27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разрешить мне 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09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4"/>
        </w:trPr>
        <w:tc>
          <w:tcPr>
            <w:gridSpan w:val="2"/>
            <w:tcBorders>
              <w:bottom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gridSpan w:val="2"/>
            <w:tcBorders>
              <w:top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почетного или специального звания, награды или иного знака отличия)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Borders>
              <w:bottom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gridSpan w:val="2"/>
            <w:tcBorders>
              <w:top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(за какие заслуги присвоено и кем, за какие заслуги награжден(-а) и кем)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2"/>
            <w:tcBorders>
              <w:bottom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gridSpan w:val="2"/>
            <w:tcBorders>
              <w:top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(дата и место вручения документов к почетному или специальному званию, награде или иному знаку отличия)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 к  почетному  или специальному званию, награда и документы к ней,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 отличия и документы к нему (нужное подчеркнуть)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9"/>
        </w:trPr>
        <w:tc>
          <w:tcPr>
            <w:gridSpan w:val="2"/>
            <w:tcBorders>
              <w:bottom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7"/>
        </w:trPr>
        <w:tc>
          <w:tcPr>
            <w:gridSpan w:val="2"/>
            <w:tcBorders>
              <w:top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почетного или специального звания, награды или иного знака отличия)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gridSpan w:val="2"/>
            <w:tcBorders>
              <w:bottom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gridSpan w:val="2"/>
            <w:tcBorders>
              <w:top w:val="single" w:color="000000" w:sz="4" w:space="0"/>
            </w:tcBorders>
            <w:tcW w:w="1081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документов к почетному или специальному званию, награде или иному знаку отличия)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 по  акту  приема-передачи  № ________ от "____" ___________ 20__ г. в отдел </w:t>
      </w:r>
      <w:r>
        <w:rPr>
          <w:rFonts w:ascii="Times New Roman" w:hAnsi="Times New Roman" w:cs="Times New Roman"/>
          <w:sz w:val="28"/>
          <w:szCs w:val="28"/>
        </w:rPr>
        <w:t xml:space="preserve">правовой, организационной и кадровой </w:t>
      </w:r>
      <w:r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муниципальный округ «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4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27"/>
        <w:gridCol w:w="1699"/>
        <w:gridCol w:w="2078"/>
        <w:gridCol w:w="236"/>
        <w:gridCol w:w="3404"/>
      </w:tblGrid>
      <w:tr>
        <w:tblPrEx/>
        <w:trPr/>
        <w:tc>
          <w:tcPr>
            <w:gridSpan w:val="2"/>
            <w:tcW w:w="4126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78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4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7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78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404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"P38"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Положению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порядке принятия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замещаемая должность)</w:t>
      </w:r>
      <w:r>
        <w:rPr>
          <w:rFonts w:ascii="Times New Roman" w:hAnsi="Times New Roman" w:cs="Times New Roman"/>
        </w:rPr>
      </w:r>
    </w:p>
    <w:p>
      <w:pPr>
        <w:pStyle w:val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или иного знака отличия иностранного государства,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иного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или другой организации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7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78"/>
      </w:tblGrid>
      <w:tr>
        <w:tblPrEx/>
        <w:trPr>
          <w:trHeight w:val="27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Уведомляю о принятом мною решении отказаться от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4"/>
        </w:trPr>
        <w:tc>
          <w:tcPr>
            <w:tcBorders>
              <w:bottom w:val="single" w:color="000000" w:sz="4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почетного или специального звания, награды или иного знака  отличия)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5"/>
        </w:trPr>
        <w:tc>
          <w:tcPr>
            <w:tcBorders>
              <w:bottom w:val="single" w:color="000000" w:sz="4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(за какие заслуги присвоено и кем, за какие заслуги награжден(-а) и кем)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bottom w:val="single" w:color="000000" w:sz="4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</w:tcBorders>
            <w:tcW w:w="9878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(дата и место вручения документов к почетному или специальному званию, награде или иному знаку отличия)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3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4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27"/>
        <w:gridCol w:w="1699"/>
        <w:gridCol w:w="2078"/>
        <w:gridCol w:w="236"/>
        <w:gridCol w:w="3404"/>
      </w:tblGrid>
      <w:tr>
        <w:tblPrEx/>
        <w:trPr/>
        <w:tc>
          <w:tcPr>
            <w:gridSpan w:val="2"/>
            <w:tcW w:w="4126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78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4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7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9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78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404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3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7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</w:t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709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</w:pPr>
    <w:r/>
    <w:r/>
  </w:p>
  <w:p>
    <w:pPr>
      <w:pStyle w:val="6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spacing w:after="200" w:line="276" w:lineRule="auto"/>
    </w:pPr>
    <w:rPr>
      <w:rFonts w:cs="Calibri"/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40"/>
    <w:uiPriority w:val="9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36">
    <w:name w:val="Заголовок 4"/>
    <w:basedOn w:val="634"/>
    <w:next w:val="634"/>
    <w:link w:val="642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character" w:styleId="640">
    <w:name w:val="Заголовок 1 Знак"/>
    <w:next w:val="640"/>
    <w:link w:val="635"/>
    <w:uiPriority w:val="99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41">
    <w:name w:val="FR1"/>
    <w:next w:val="641"/>
    <w:link w:val="634"/>
    <w:pPr>
      <w:jc w:val="center"/>
      <w:widowControl w:val="off"/>
    </w:pPr>
    <w:rPr>
      <w:rFonts w:ascii="Arial" w:hAnsi="Arial" w:eastAsia="Times New Roman"/>
      <w:sz w:val="18"/>
      <w:lang w:val="ru-RU" w:eastAsia="ru-RU" w:bidi="ar-SA"/>
    </w:rPr>
  </w:style>
  <w:style w:type="character" w:styleId="642">
    <w:name w:val="Заголовок 4 Знак"/>
    <w:next w:val="642"/>
    <w:link w:val="636"/>
    <w:uiPriority w:val="9"/>
    <w:semiHidden/>
    <w:rPr>
      <w:rFonts w:eastAsia="Times New Roman"/>
      <w:b/>
      <w:bCs/>
      <w:sz w:val="28"/>
      <w:szCs w:val="28"/>
      <w:lang w:eastAsia="en-US"/>
    </w:rPr>
  </w:style>
  <w:style w:type="paragraph" w:styleId="643">
    <w:name w:val="Верхний колонтитул"/>
    <w:basedOn w:val="634"/>
    <w:next w:val="643"/>
    <w:link w:val="644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644">
    <w:name w:val="Верхний колонтитул Знак"/>
    <w:next w:val="644"/>
    <w:link w:val="643"/>
    <w:uiPriority w:val="99"/>
    <w:rPr>
      <w:rFonts w:ascii="Times New Roman" w:hAnsi="Times New Roman" w:eastAsia="Times New Roman"/>
      <w:lang w:eastAsia="ar-SA"/>
    </w:rPr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646">
    <w:name w:val="Нижний колонтитул Знак"/>
    <w:next w:val="646"/>
    <w:link w:val="645"/>
    <w:uiPriority w:val="99"/>
    <w:semiHidden/>
    <w:rPr>
      <w:rFonts w:cs="Calibri"/>
      <w:sz w:val="22"/>
      <w:szCs w:val="22"/>
      <w:lang w:eastAsia="en-US"/>
    </w:rPr>
  </w:style>
  <w:style w:type="paragraph" w:styleId="647">
    <w:name w:val="Без интервала"/>
    <w:next w:val="647"/>
    <w:link w:val="634"/>
    <w:uiPriority w:val="1"/>
    <w:qFormat/>
    <w:rPr>
      <w:rFonts w:cs="Calibri"/>
      <w:sz w:val="22"/>
      <w:szCs w:val="22"/>
      <w:lang w:val="ru-RU" w:eastAsia="en-US" w:bidi="ar-SA"/>
    </w:rPr>
  </w:style>
  <w:style w:type="table" w:styleId="648">
    <w:name w:val="Сетка таблицы"/>
    <w:basedOn w:val="638"/>
    <w:next w:val="648"/>
    <w:link w:val="634"/>
    <w:uiPriority w:val="59"/>
    <w:tblPr/>
  </w:style>
  <w:style w:type="paragraph" w:styleId="649">
    <w:name w:val="Абзац списка"/>
    <w:basedOn w:val="634"/>
    <w:next w:val="649"/>
    <w:link w:val="634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0">
    <w:name w:val="ConsPlusNormal"/>
    <w:next w:val="650"/>
    <w:link w:val="634"/>
    <w:pPr>
      <w:jc w:val="both"/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51">
    <w:name w:val="ConsPlusNonformat"/>
    <w:next w:val="651"/>
    <w:link w:val="634"/>
    <w:pPr>
      <w:jc w:val="both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52">
    <w:name w:val="ConsPlusTitle"/>
    <w:next w:val="652"/>
    <w:link w:val="634"/>
    <w:pPr>
      <w:jc w:val="both"/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53">
    <w:name w:val="Текст выноски"/>
    <w:basedOn w:val="634"/>
    <w:next w:val="653"/>
    <w:link w:val="6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4">
    <w:name w:val="Текст выноски Знак"/>
    <w:next w:val="654"/>
    <w:link w:val="65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946" w:default="1">
    <w:name w:val="Default Paragraph Font"/>
    <w:uiPriority w:val="1"/>
    <w:semiHidden/>
    <w:unhideWhenUsed/>
  </w:style>
  <w:style w:type="numbering" w:styleId="1947" w:default="1">
    <w:name w:val="No List"/>
    <w:uiPriority w:val="99"/>
    <w:semiHidden/>
    <w:unhideWhenUsed/>
  </w:style>
  <w:style w:type="table" w:styleId="1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Шишкин</cp:lastModifiedBy>
  <cp:revision>5</cp:revision>
  <dcterms:created xsi:type="dcterms:W3CDTF">2024-01-31T06:46:00Z</dcterms:created>
  <dcterms:modified xsi:type="dcterms:W3CDTF">2025-05-05T12:19:18Z</dcterms:modified>
  <cp:version>917504</cp:version>
</cp:coreProperties>
</file>