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spacing w:before="0"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</w:p>
    <w:p>
      <w:pPr>
        <w:pStyle w:val="636"/>
        <w:spacing w:before="0"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b w:val="0"/>
          <w:bCs w:val="0"/>
          <w:color w:val="ff000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-20954</wp:posOffset>
                </wp:positionV>
                <wp:extent cx="485775" cy="711835"/>
                <wp:effectExtent l="0" t="0" r="0" b="0"/>
                <wp:wrapNone/>
                <wp:docPr id="1" name="_x0000_s10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577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5.60pt;mso-position-horizontal:absolute;mso-position-vertical-relative:text;margin-top:-1.65pt;mso-position-vertical:absolute;width:38.25pt;height:56.0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</w:p>
    <w:p>
      <w:pPr>
        <w:pStyle w:val="636"/>
        <w:numPr>
          <w:ilvl w:val="2"/>
          <w:numId w:val="0"/>
        </w:numPr>
        <w:ind w:left="720" w:hanging="720"/>
        <w:jc w:val="center"/>
        <w:spacing w:before="0" w:after="0" w:line="240" w:lineRule="auto"/>
        <w:tabs>
          <w:tab w:val="num" w:pos="72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36"/>
        <w:ind w:left="432" w:hanging="432"/>
        <w:jc w:val="center"/>
        <w:spacing w:before="0" w:after="0" w:line="240" w:lineRule="auto"/>
        <w:tabs>
          <w:tab w:val="num" w:pos="43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0065" w:type="dxa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20"/>
        <w:gridCol w:w="851"/>
        <w:gridCol w:w="4394"/>
      </w:tblGrid>
      <w:tr>
        <w:tblPrEx/>
        <w:trPr>
          <w:trHeight w:val="130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Администрация</w:t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муниципального образования</w:t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«Муниципальный округ Селтинский район </w:t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Удмуртской Республики»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(Администрация Селтинского района)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tabs>
                <w:tab w:val="left" w:pos="4500" w:leader="none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«Удмурт Элькунысь</w:t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Сьӧлта ёрос </w:t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муниципал округ»</w:t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муниципал кылдытэтлэн</w:t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Администрациез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4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(Сьӧлта ёрослэн Администрациез)</w:t>
            </w:r>
            <w:r>
              <w:rPr>
                <w:b/>
                <w:sz w:val="28"/>
                <w:szCs w:val="28"/>
                <w:lang w:val="ru-RU"/>
              </w:rPr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  <w:p>
            <w:pPr>
              <w:pStyle w:val="64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  <w:p>
            <w:pPr>
              <w:pStyle w:val="64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  <w:p>
            <w:pPr>
              <w:pStyle w:val="6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ПОСТАНОВЛЕНИЕ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90"/>
        <w:gridCol w:w="4590"/>
      </w:tblGrid>
      <w:tr>
        <w:tblPrEx/>
        <w:trPr>
          <w:trHeight w:val="30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90" w:type="dxa"/>
            <w:vAlign w:val="top"/>
            <w:textDirection w:val="lrTb"/>
            <w:noWrap w:val="false"/>
          </w:tcPr>
          <w:tbl>
            <w:tblPr>
              <w:tblW w:w="0" w:type="auto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659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65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31 января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202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г.</w:t>
                  </w:r>
                  <w:r>
                    <w:rPr>
                      <w:sz w:val="28"/>
                      <w:szCs w:val="28"/>
                      <w:lang w:val="ru-RU"/>
                    </w:rPr>
                  </w:r>
                </w:p>
              </w:tc>
            </w:tr>
          </w:tbl>
          <w:p>
            <w:pPr>
              <w:pStyle w:val="6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90" w:type="dxa"/>
            <w:vAlign w:val="top"/>
            <w:textDirection w:val="lrTb"/>
            <w:noWrap w:val="false"/>
          </w:tcPr>
          <w:p>
            <w:pPr>
              <w:pStyle w:val="643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№ </w:t>
            </w:r>
            <w:r>
              <w:rPr>
                <w:sz w:val="28"/>
                <w:szCs w:val="28"/>
                <w:lang w:val="ru-RU"/>
              </w:rPr>
              <w:t xml:space="preserve">76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30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80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с. Селты</w:t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4"/>
        <w:ind w:right="521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right="521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right="521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8439" w:type="dxa"/>
        <w:jc w:val="center"/>
        <w:tblInd w:w="106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3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439" w:type="dxa"/>
            <w:vAlign w:val="top"/>
            <w:textDirection w:val="lrTb"/>
            <w:noWrap w:val="false"/>
          </w:tcPr>
          <w:p>
            <w:pPr>
              <w:pStyle w:val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проведения антикоррупционного мониторинга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Селтинский район Удмуртской Республики"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34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4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5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54" w:type="dxa"/>
            <w:vAlign w:val="top"/>
            <w:textDirection w:val="lrTb"/>
            <w:noWrap w:val="false"/>
          </w:tcPr>
          <w:p>
            <w:pPr>
              <w:pStyle w:val="634"/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совершенствования организации деятельности в области противодействия коррупции и проведения оценки эффективности мер, проводимых Администрацией муниципального образования "Муниципальный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Удмуртской Республики",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"https://login.consultant.ru/link/?req=doc&amp;base=RLAW053&amp;n=105942"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Удмуртской Республики от 30.06.2016 N 283-РГ "О порядке проведения антикоррупционного мониторинга", руководствуясь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"https://login.consultant.ru/link/?req=doc&amp;base=RLAW053&amp;n=146462&amp;dst=100430"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статьями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"https://login.consultant.ru/link/?req=doc&amp;base=RLAW053&amp;n=146462&amp;dst=100472"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Устава муниципального образования "Муниципальный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Удмуртской Республики",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4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tbl>
            <w:tblPr>
              <w:tblW w:w="0" w:type="auto"/>
              <w:tblInd w:w="0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854" w:type="dxa"/>
                  <w:vAlign w:val="top"/>
                  <w:textDirection w:val="lrTb"/>
                  <w:noWrap w:val="false"/>
                </w:tcPr>
                <w:p>
                  <w:pPr>
                    <w:pStyle w:val="634"/>
                    <w:jc w:val="both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Администрация муниципального образования «Муниципальный округ Селтинский район Удмуртской Республики»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</w:p>
                <w:p>
                  <w:pPr>
                    <w:pStyle w:val="634"/>
                    <w:jc w:val="both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20"/>
                      <w:sz w:val="28"/>
                      <w:szCs w:val="28"/>
                    </w:rPr>
                    <w:t xml:space="preserve">постановляет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: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</w:p>
                <w:p>
                  <w:pPr>
                    <w:pStyle w:val="634"/>
                    <w:jc w:val="both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5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прилагаемый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\l "P37"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антикоррупционного мониторинга в муниципальном образовании "Муниципальный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Удмуртской Республики".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Разместить настоящее постановление на официальном сайте муниципального образования "Муниципальный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Удмуртской Республики".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tabs>
                <w:tab w:val="left" w:pos="851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постановления возложить на руководителя Аппарата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Совета депутатов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«Муниципальный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Удмуртской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Ившину Ю.Л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9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Настоящее постановление вступает в силу с момента</w:t>
            </w:r>
            <w:r>
              <w:rPr>
                <w:sz w:val="28"/>
                <w:szCs w:val="28"/>
              </w:rPr>
              <w:t xml:space="preserve"> принятия.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54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00"/>
        <w:gridCol w:w="1139"/>
        <w:gridCol w:w="240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0" w:type="dxa"/>
            <w:vAlign w:val="top"/>
            <w:textDirection w:val="lrTb"/>
            <w:noWrap w:val="false"/>
          </w:tcPr>
          <w:p>
            <w:pPr>
              <w:pStyle w:val="634"/>
              <w:ind w:right="-5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634"/>
              <w:ind w:right="-5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«Муниципальный округ Селтинский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634"/>
              <w:ind w:right="-5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Удмуртской Республики»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634"/>
              <w:ind w:right="-5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34"/>
              <w:ind w:right="-5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634"/>
              <w:ind w:right="-5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634"/>
              <w:ind w:right="-5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В.А. Протопопов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«Муниципальный округ </w:t>
      </w:r>
      <w:r>
        <w:rPr>
          <w:rFonts w:ascii="Times New Roman" w:hAnsi="Times New Roman" w:cs="Times New Roman"/>
          <w:sz w:val="24"/>
          <w:szCs w:val="24"/>
        </w:rPr>
        <w:t xml:space="preserve">Селтинский</w:t>
      </w:r>
      <w:r>
        <w:rPr>
          <w:rFonts w:ascii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Удмуртской Республики»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31.01.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76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АНТИКОРРУПЦИОННОГО МОНИТОРИНГА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"МУНИЦИПАЛЬНЫЙ ОКРУГ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п</w:t>
      </w:r>
      <w:r>
        <w:rPr>
          <w:rFonts w:ascii="Times New Roman" w:hAnsi="Times New Roman" w:cs="Times New Roman"/>
          <w:sz w:val="28"/>
          <w:szCs w:val="28"/>
        </w:rPr>
        <w:t xml:space="preserve">роведения антикоррупционного мониторинга (далее - Порядок) устанавливает последовательность действий по проведению антикоррупционного мониторинга, а также определяет перечень сведений, показателей и информационных материалов антикоррупционного мониторинга.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Антикоррупционный мониторинг (далее - мониторинг) - периодическое наблюдение, анализ и оценка коррупции, коррупциогенных факторов и проявлений, а также мер реализации Администрацией муниципального образования "Муниципальный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 (далее - Администрация) антикоррупционной политики.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Организацию и проведение мониторинга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отдел правовой, организационной и кадровой работы Управления по обеспечению деятельности Главы и РСД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"Муниципальный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кадровая служба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2. Цели и задачи мониторинга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Главной целью мониторинга являетс</w:t>
      </w:r>
      <w:r>
        <w:rPr>
          <w:rFonts w:ascii="Times New Roman" w:hAnsi="Times New Roman" w:cs="Times New Roman"/>
          <w:sz w:val="28"/>
          <w:szCs w:val="28"/>
        </w:rPr>
        <w:t xml:space="preserve">я оценка состояния антикоррупционной деятельности в Администрации, анализ факторов, способствующих коррупции, и подготовка предложений по разработке мер, направленных на выявление и устранение причин и условий, способствующих коррупционным правонарушениям.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Задачами мониторинга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определение сфер деятельности с высокими коррупционными рисками;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выявление причин и условий, способствующих коррупционным проявлениям;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оценка влияния реализации антикоррупционных мер на коррупционную обстановку.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3. Этапы проведения мониторинга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Мониторинг включает в себя следующие этапы: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- сбор данных.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Кадровая служба</w:t>
      </w:r>
      <w:r>
        <w:rPr>
          <w:rFonts w:ascii="Times New Roman" w:hAnsi="Times New Roman" w:cs="Times New Roman"/>
          <w:sz w:val="28"/>
          <w:szCs w:val="28"/>
        </w:rPr>
        <w:t xml:space="preserve"> запрашивает сведения от структурных подразделений Администрации (далее - структурные подразделения) о результатах антикоррупционной деятельности в сфере муниципальной службы, о результатах ант</w:t>
      </w:r>
      <w:r>
        <w:rPr>
          <w:rFonts w:ascii="Times New Roman" w:hAnsi="Times New Roman" w:cs="Times New Roman"/>
          <w:sz w:val="28"/>
          <w:szCs w:val="28"/>
        </w:rPr>
        <w:t xml:space="preserve">икоррупционной экспертизы актов Администрации и их проектов, об итогах работы с обращениями граждан, об исполнении Плана мероприятий по противодействию коррупции в Администрации, планов мероприятий по противодействию коррупции в организациях и учреждениях.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- обработка и обобщение представленных данных.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Подготовленная информация по формам в соответствии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"https://login.consultant.ru/link/?req=doc&amp;base=RLAW053&amp;n=105942&amp;dst=100871"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приложением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"https://login.consultant.ru/link/?req=doc&amp;base=RLAW053&amp;n=105942&amp;dst=101140"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приложением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Порядку проведения антикоррупционного мониторинга, утвержденному распоряжением Главы Удмуртской Республики от 30.06.2016 N 283-РГ, направляется руководителями структурных подразделений в </w:t>
      </w:r>
      <w:r>
        <w:rPr>
          <w:rFonts w:ascii="Times New Roman" w:hAnsi="Times New Roman" w:cs="Times New Roman"/>
          <w:sz w:val="28"/>
          <w:szCs w:val="28"/>
        </w:rPr>
        <w:t xml:space="preserve">кадровую службу</w:t>
      </w:r>
      <w:r>
        <w:rPr>
          <w:rFonts w:ascii="Times New Roman" w:hAnsi="Times New Roman" w:cs="Times New Roman"/>
          <w:sz w:val="28"/>
          <w:szCs w:val="28"/>
        </w:rPr>
        <w:t xml:space="preserve"> в письменном и электронном виде.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по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"https://login.consultant.ru/link/?req=doc&amp;base=RLAW053&amp;n=105942&amp;dst=100871"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форме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содержащейся в приложении 1, представляются ежеквартально до 15 апреля, 15 июля, 15 октября, сведения по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"https://login.consultant.ru/link/?req=doc&amp;base=RLAW053&amp;n=105942&amp;dst=101140"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форме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содержащейся в приложении 2, - ежегодно до 25 декабря.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полноту и достоверность представляемой информации несут ответственность руководители структурных подразделений и иных организаций, представивших информацию. Информация может сопровождаться письменными пояснениями, примечаниями, комментариями.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сведения обобщаются кадровой </w:t>
      </w:r>
      <w:r>
        <w:rPr>
          <w:rFonts w:ascii="Times New Roman" w:hAnsi="Times New Roman" w:cs="Times New Roman"/>
          <w:sz w:val="28"/>
          <w:szCs w:val="28"/>
        </w:rPr>
        <w:t xml:space="preserve">службой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3 этап - анализ, оценка результатов мониторинга и формирование отчетов.</w:t>
      </w:r>
      <w:r/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 данном этапе проводится анализ антикоррупционной деятельности структурных подразделений, исполнения Плана мероприятий по противодействию коррупции в Администрации, планов мероприятий по противодействию коррупции в отрасли, оценка результатов социологичес</w:t>
      </w:r>
      <w:r>
        <w:rPr>
          <w:rFonts w:ascii="Times New Roman" w:hAnsi="Times New Roman" w:cs="Times New Roman"/>
          <w:sz w:val="28"/>
          <w:szCs w:val="28"/>
        </w:rPr>
        <w:t xml:space="preserve">ких опросов и исследований, а также оценка применения структурными подразделениями (органами) нормативных правовых актов Российской Федерации, нормативных правовых актов Удмуртской Республики и Администрации муниципального образования "Муниципальный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 в сфере противодействия коррупции.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 основании анализа полученных сведений </w:t>
      </w:r>
      <w:r>
        <w:rPr>
          <w:rFonts w:ascii="Times New Roman" w:hAnsi="Times New Roman" w:cs="Times New Roman"/>
          <w:sz w:val="28"/>
          <w:szCs w:val="28"/>
        </w:rPr>
        <w:t xml:space="preserve">кадровой службой</w:t>
      </w:r>
      <w:r>
        <w:rPr>
          <w:rFonts w:ascii="Times New Roman" w:hAnsi="Times New Roman" w:cs="Times New Roman"/>
          <w:sz w:val="28"/>
          <w:szCs w:val="28"/>
        </w:rPr>
        <w:t xml:space="preserve"> готовится сводный отчет.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Отчет о результатах мониторинга является документом, содержащим характеристику результатов мониторинга, набор показателей и критерии оценки эффективности деятельности Администрации по реализации антикоррупционных мер.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результатах мониторинга направляется Главе муниципального образования "Муниципальный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Республики", а также на рассмотрение Комиссии по координации работы по противодействию коррупции в муниципальном образовании "Муниципальный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 с целью выработки мер в области противодействия коррупции на территории муниципального образования "Муниципальный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4. Формы и методы проведения мониторинга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Мониторинг осуществляется путем: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проведения антикоррупционной экспертизы принятых нормативных правовых актов (проектов нормативных правовых актов) при проведении их правовой экспертизы и мониторинге их применения;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изучения результатов применения мер предупреждения, пресечения и ответственности за коррупционные правонарушения;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изучения статистических данных;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изучения материалов районных средств массовой информации;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анализа осуществления органами местного самоуправления, муниципальными организациями и учреждениями мер по противодействию коррупции;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изучения материалов социологических опросов (анкетирования) населения, муниципальных служащих;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анализа причин и условий, способствовавших коррупции в деятельности лиц, признанных виновными в установленном законом порядке.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5. Основные источники информации, используемые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мониторинга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Основными источниками информации, используемыми при проведении мониторинга,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официальные данные правоохранительных органов о преступлениях коррупционного характера в органах местного самоуправления муниципального образования "Муниципальный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Республики", муниципальных организациях и учреждениях;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информационно-аналитические материалы правоохранительных органов, характеризующие состояние и результаты противодействия коррупции в органах местного самоуправления муниципального образования "Муниципальный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Республики", муниципальных организациях и учреждениях;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материалы социологически</w:t>
      </w:r>
      <w:r>
        <w:rPr>
          <w:rFonts w:ascii="Times New Roman" w:hAnsi="Times New Roman" w:cs="Times New Roman"/>
          <w:sz w:val="28"/>
          <w:szCs w:val="28"/>
        </w:rPr>
        <w:t xml:space="preserve">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выявление наиболее коррупционных сфер деятельности и оценка эффективности реализуемых антикоррупционных мер;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результаты мониторинга публикаций по антикоррупционной тематике в средствах массовой информации;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материалы независимых опросов общественного мнения, опубликованные в средствах массовой информации;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информация Администрации о результатах проведения антикоррупционной экспертизы нормативных правовых актов и их проектов: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информация Администрации о результатах: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проверок достоверности и полноты сведений, представляемых гражданами о себе при поступлении на муниципальную службу;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проверок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проверок достоверности и полноты сведений о доходах, имуществе и обязательствах имущественного характера, представляемых муниципальными служащими;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осуществления контроля за расходами муниципальных служащих;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проверок соблюдения муниципальными служащими установленных ограничений и запретов, а также требований о предотвращении или урегулировании конфликта интересов;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проверок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служебных проверок;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информация Администрации о мерах, принимаемых по предотвращению и урегулированию конфликта интересов на муниципальной службе;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информация об итогах работы по анализу сообщений граждан о коррупционных правонарушениях.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6. Результаты мониторинга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Результаты мониторинга используются для: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выработки предложений по повышению эффективности деятельности Администрации в сфере противодействия коррупции;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снижения уровня коррупционных правонарушений в Администрации;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определения на основе полученных данных основных направлений деятельности по противодействию коррупции в муниципальном образовании "Муниципальный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подготовки отчетов и информации Главе муниципального образования "Муниципальный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Республики", в Комиссию по координации работы по противодействию коррупции в муниципальном образовании "Муниципальный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Республики", в Администрацию Главы и Правительства Удмуртской Республики;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оценки результатов антикоррупционной деятельности Администрации муниципального образования "Муниципальный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 в сфере муниципальной службы и соблюдения законодательства о муниципальной службе.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tabs>
          <w:tab w:val="left" w:pos="851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50"/>
        <w:jc w:val="center"/>
        <w:tabs>
          <w:tab w:val="left" w:pos="851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709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</w:pPr>
    <w:r/>
    <w:r/>
  </w:p>
  <w:p>
    <w:pPr>
      <w:pStyle w:val="6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0" w:hanging="141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pPr>
      <w:spacing w:after="200" w:line="276" w:lineRule="auto"/>
    </w:pPr>
    <w:rPr>
      <w:rFonts w:cs="Calibri"/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4"/>
    <w:link w:val="640"/>
    <w:uiPriority w:val="99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0"/>
      <w:szCs w:val="20"/>
      <w:lang w:val="en-US" w:eastAsia="ru-RU"/>
    </w:rPr>
  </w:style>
  <w:style w:type="paragraph" w:styleId="636">
    <w:name w:val="Заголовок 4"/>
    <w:basedOn w:val="634"/>
    <w:next w:val="634"/>
    <w:link w:val="642"/>
    <w:uiPriority w:val="9"/>
    <w:semiHidden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en-US"/>
    </w:rPr>
  </w:style>
  <w:style w:type="character" w:styleId="637">
    <w:name w:val="Основной шрифт абзаца"/>
    <w:next w:val="637"/>
    <w:link w:val="634"/>
    <w:uiPriority w:val="1"/>
    <w:semiHidden/>
    <w:unhideWhenUsed/>
  </w:style>
  <w:style w:type="table" w:styleId="638">
    <w:name w:val="Обычная таблица"/>
    <w:next w:val="638"/>
    <w:link w:val="634"/>
    <w:uiPriority w:val="99"/>
    <w:semiHidden/>
    <w:unhideWhenUsed/>
    <w:qFormat/>
    <w:tblPr/>
  </w:style>
  <w:style w:type="numbering" w:styleId="639">
    <w:name w:val="Нет списка"/>
    <w:next w:val="639"/>
    <w:link w:val="634"/>
    <w:uiPriority w:val="99"/>
    <w:semiHidden/>
    <w:unhideWhenUsed/>
  </w:style>
  <w:style w:type="character" w:styleId="640">
    <w:name w:val="Заголовок 1 Знак"/>
    <w:next w:val="640"/>
    <w:link w:val="635"/>
    <w:uiPriority w:val="99"/>
    <w:rPr>
      <w:rFonts w:ascii="Times New Roman" w:hAnsi="Times New Roman" w:eastAsia="Times New Roman" w:cs="Times New Roman"/>
      <w:b/>
      <w:bCs/>
      <w:sz w:val="20"/>
      <w:szCs w:val="20"/>
      <w:lang w:val="en-US" w:eastAsia="ru-RU"/>
    </w:rPr>
  </w:style>
  <w:style w:type="paragraph" w:styleId="641">
    <w:name w:val="FR1"/>
    <w:next w:val="641"/>
    <w:link w:val="634"/>
    <w:pPr>
      <w:jc w:val="center"/>
      <w:widowControl w:val="off"/>
    </w:pPr>
    <w:rPr>
      <w:rFonts w:ascii="Arial" w:hAnsi="Arial" w:eastAsia="Times New Roman"/>
      <w:sz w:val="18"/>
      <w:lang w:val="ru-RU" w:eastAsia="ru-RU" w:bidi="ar-SA"/>
    </w:rPr>
  </w:style>
  <w:style w:type="character" w:styleId="642">
    <w:name w:val="Заголовок 4 Знак"/>
    <w:next w:val="642"/>
    <w:link w:val="636"/>
    <w:uiPriority w:val="9"/>
    <w:semiHidden/>
    <w:rPr>
      <w:rFonts w:eastAsia="Times New Roman"/>
      <w:b/>
      <w:bCs/>
      <w:sz w:val="28"/>
      <w:szCs w:val="28"/>
      <w:lang w:eastAsia="en-US"/>
    </w:rPr>
  </w:style>
  <w:style w:type="paragraph" w:styleId="643">
    <w:name w:val="Верхний колонтитул"/>
    <w:basedOn w:val="634"/>
    <w:next w:val="643"/>
    <w:link w:val="644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en-US" w:eastAsia="ar-SA"/>
    </w:rPr>
  </w:style>
  <w:style w:type="character" w:styleId="644">
    <w:name w:val="Верхний колонтитул Знак"/>
    <w:next w:val="644"/>
    <w:link w:val="643"/>
    <w:uiPriority w:val="99"/>
    <w:rPr>
      <w:rFonts w:ascii="Times New Roman" w:hAnsi="Times New Roman" w:eastAsia="Times New Roman"/>
      <w:lang w:eastAsia="ar-SA"/>
    </w:rPr>
  </w:style>
  <w:style w:type="paragraph" w:styleId="645">
    <w:name w:val="Нижний колонтитул"/>
    <w:basedOn w:val="634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  <w:rPr>
      <w:rFonts w:cs="Times New Roman"/>
      <w:lang w:val="en-US"/>
    </w:rPr>
  </w:style>
  <w:style w:type="character" w:styleId="646">
    <w:name w:val="Нижний колонтитул Знак"/>
    <w:next w:val="646"/>
    <w:link w:val="645"/>
    <w:uiPriority w:val="99"/>
    <w:semiHidden/>
    <w:rPr>
      <w:rFonts w:cs="Calibri"/>
      <w:sz w:val="22"/>
      <w:szCs w:val="22"/>
      <w:lang w:eastAsia="en-US"/>
    </w:rPr>
  </w:style>
  <w:style w:type="paragraph" w:styleId="647">
    <w:name w:val="Без интервала"/>
    <w:next w:val="647"/>
    <w:link w:val="634"/>
    <w:uiPriority w:val="1"/>
    <w:qFormat/>
    <w:rPr>
      <w:rFonts w:cs="Calibri"/>
      <w:sz w:val="22"/>
      <w:szCs w:val="22"/>
      <w:lang w:val="ru-RU" w:eastAsia="en-US" w:bidi="ar-SA"/>
    </w:rPr>
  </w:style>
  <w:style w:type="table" w:styleId="648">
    <w:name w:val="Сетка таблицы"/>
    <w:basedOn w:val="638"/>
    <w:next w:val="648"/>
    <w:link w:val="634"/>
    <w:uiPriority w:val="59"/>
    <w:tblPr/>
  </w:style>
  <w:style w:type="paragraph" w:styleId="649">
    <w:name w:val="Абзац списка"/>
    <w:basedOn w:val="634"/>
    <w:next w:val="649"/>
    <w:link w:val="634"/>
    <w:uiPriority w:val="34"/>
    <w:qFormat/>
    <w:pPr>
      <w:contextualSpacing/>
      <w:ind w:left="720"/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50">
    <w:name w:val="ConsPlusNormal"/>
    <w:next w:val="650"/>
    <w:link w:val="634"/>
    <w:pPr>
      <w:jc w:val="both"/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651">
    <w:name w:val="ConsPlusNonformat"/>
    <w:next w:val="651"/>
    <w:link w:val="634"/>
    <w:pPr>
      <w:jc w:val="both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52">
    <w:name w:val="ConsPlusTitle"/>
    <w:next w:val="652"/>
    <w:link w:val="634"/>
    <w:pPr>
      <w:jc w:val="both"/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653">
    <w:name w:val="Текст выноски"/>
    <w:basedOn w:val="634"/>
    <w:next w:val="653"/>
    <w:link w:val="65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4">
    <w:name w:val="Текст выноски Знак"/>
    <w:next w:val="654"/>
    <w:link w:val="65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544" w:default="1">
    <w:name w:val="Default Paragraph Font"/>
    <w:uiPriority w:val="1"/>
    <w:semiHidden/>
    <w:unhideWhenUsed/>
  </w:style>
  <w:style w:type="numbering" w:styleId="1545" w:default="1">
    <w:name w:val="No List"/>
    <w:uiPriority w:val="99"/>
    <w:semiHidden/>
    <w:unhideWhenUsed/>
  </w:style>
  <w:style w:type="table" w:styleId="15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Шишкин</cp:lastModifiedBy>
  <cp:revision>8</cp:revision>
  <dcterms:created xsi:type="dcterms:W3CDTF">2024-01-31T07:58:00Z</dcterms:created>
  <dcterms:modified xsi:type="dcterms:W3CDTF">2025-05-05T12:19:10Z</dcterms:modified>
  <cp:version>917504</cp:version>
</cp:coreProperties>
</file>