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rPr>
          <w:b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60960</wp:posOffset>
                </wp:positionV>
                <wp:extent cx="539750" cy="809625"/>
                <wp:effectExtent l="0" t="0" r="0" b="0"/>
                <wp:wrapTight wrapText="bothSides">
                  <wp:wrapPolygon edited="1">
                    <wp:start x="-762" y="0"/>
                    <wp:lineTo x="-762" y="21346"/>
                    <wp:lineTo x="21346" y="21346"/>
                    <wp:lineTo x="21346" y="0"/>
                    <wp:lineTo x="-762" y="0"/>
                  </wp:wrapPolygon>
                </wp:wrapTight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9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26.20pt;mso-position-horizontal:absolute;mso-position-vertical-relative:text;margin-top:4.80pt;mso-position-vertical:absolute;width:42.50pt;height:63.75pt;mso-wrap-distance-left:9.00pt;mso-wrap-distance-top:0.00pt;mso-wrap-distance-right:9.00pt;mso-wrap-distance-bottom:0.00pt;" wrapcoords="-3527 0 -3527 98824 98824 98824 98824 0 -3527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3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709"/>
        <w:gridCol w:w="43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 xml:space="preserve">ГЛАВА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Удмуртской Республики»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tabs>
                <w:tab w:val="left" w:pos="450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«Удмурт Элькунысь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Сьӧлта ёрос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округ»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кылдытэтлэн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60"/>
              <w:jc w:val="center"/>
            </w:pPr>
            <w:r>
              <w:rPr>
                <w:b/>
                <w:sz w:val="28"/>
                <w:szCs w:val="28"/>
              </w:rPr>
              <w:t xml:space="preserve">КИВАЛТИСЕЗ</w:t>
            </w:r>
            <w:r/>
          </w:p>
        </w:tc>
      </w:tr>
    </w:tbl>
    <w:p>
      <w:pPr>
        <w:pStyle w:val="637"/>
      </w:pPr>
      <w:r/>
      <w:r/>
    </w:p>
    <w:p>
      <w:pPr>
        <w:pStyle w:val="6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90"/>
        <w:gridCol w:w="4830"/>
      </w:tblGrid>
      <w:tr>
        <w:tblPrEx/>
        <w:trPr>
          <w:trHeight w:val="30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90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 января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30" w:type="dxa"/>
            <w:vAlign w:val="top"/>
            <w:textDirection w:val="lrTb"/>
            <w:noWrap w:val="false"/>
          </w:tcPr>
          <w:p>
            <w:pPr>
              <w:pStyle w:val="63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с.Селты</w:t>
      </w:r>
      <w:r>
        <w:rPr>
          <w:sz w:val="28"/>
          <w:szCs w:val="28"/>
        </w:rPr>
      </w:r>
    </w:p>
    <w:p>
      <w:pPr>
        <w:pStyle w:val="63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spacing w:line="280" w:lineRule="exact"/>
        <w:widowControl w:val="off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порядке сообщения муниципальными служащими Администрации муниципального образования «Муниципальный округ </w:t>
      </w:r>
      <w:r>
        <w:rPr>
          <w:b/>
          <w:bCs/>
          <w:sz w:val="28"/>
          <w:szCs w:val="28"/>
        </w:rPr>
        <w:t xml:space="preserve">Селтинский</w:t>
      </w:r>
      <w:r>
        <w:rPr>
          <w:b/>
          <w:bCs/>
          <w:sz w:val="28"/>
          <w:szCs w:val="28"/>
        </w:rPr>
        <w:t xml:space="preserve"> район Удмуртской Республики»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bCs/>
          <w:sz w:val="28"/>
          <w:szCs w:val="28"/>
        </w:rPr>
      </w:r>
    </w:p>
    <w:p>
      <w:pPr>
        <w:pStyle w:val="637"/>
        <w:ind w:right="53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2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2008 года № 273-ФЗ «О противодействии коррупции», пунктом 8 Указа Президента  Российской Федерации от 22 декабря 2015 года № 650 «О порядке сообщения </w:t>
      </w:r>
      <w:r>
        <w:rPr>
          <w:rFonts w:ascii="Times New Roman" w:hAnsi="Times New Roman" w:cs="Times New Roman"/>
          <w:sz w:val="28"/>
          <w:szCs w:val="28"/>
        </w:rPr>
        <w:t xml:space="preserve">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</w:t>
      </w:r>
      <w:r>
        <w:rPr>
          <w:rFonts w:ascii="Times New Roman" w:hAnsi="Times New Roman" w:cs="Times New Roman"/>
          <w:sz w:val="28"/>
          <w:szCs w:val="28"/>
        </w:rPr>
        <w:t xml:space="preserve">и к конфликту интересов, и о внесении изменений в некоторые акты Президента Российской Федерации», Законом Удмуртской Республики от 20 сентября 2007 года № 55-РЗ «О мерах по противодействию коррупционным проявлениям в Удмуртской Республике», руководствуясь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Уставом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Селтинский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район Удмурт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кой Республики», </w:t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pStyle w:val="66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ПОСТАНОВЛЯЮ: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numPr>
          <w:ilvl w:val="0"/>
          <w:numId w:val="11"/>
        </w:numPr>
        <w:ind w:left="0" w:firstLine="567"/>
        <w:jc w:val="both"/>
        <w:widowControl w:val="off"/>
        <w:tabs>
          <w:tab w:val="left" w:pos="85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прилагаемое Положение о</w:t>
      </w:r>
      <w:r>
        <w:rPr>
          <w:sz w:val="28"/>
          <w:szCs w:val="28"/>
        </w:rPr>
        <w:t xml:space="preserve"> порядке сообщения муниципальными служащими Администрации муниципального образования «Муниципальный округ </w:t>
      </w:r>
      <w:r>
        <w:rPr>
          <w:sz w:val="28"/>
          <w:szCs w:val="28"/>
        </w:rPr>
        <w:t xml:space="preserve">Селтинский</w:t>
      </w:r>
      <w:r>
        <w:rPr>
          <w:sz w:val="28"/>
          <w:szCs w:val="28"/>
        </w:rPr>
        <w:t xml:space="preserve"> район Удмуртской Республики»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7"/>
        <w:ind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Главы муниципального образования «Селтинский район» №202 от 25.03.2013 «</w:t>
      </w:r>
      <w:r>
        <w:rPr>
          <w:bCs/>
          <w:spacing w:val="-1"/>
          <w:sz w:val="28"/>
          <w:szCs w:val="28"/>
        </w:rPr>
        <w:t xml:space="preserve">О порядке сообщения лицами, замещающими муниципальные </w:t>
      </w:r>
      <w:r>
        <w:rPr>
          <w:bCs/>
          <w:sz w:val="28"/>
          <w:szCs w:val="28"/>
        </w:rPr>
        <w:t xml:space="preserve">должности, должности муниципальной службы муниципального образования «Селтинский район», и иными лицами о </w:t>
      </w:r>
      <w:r>
        <w:rPr>
          <w:bCs/>
          <w:spacing w:val="-1"/>
          <w:sz w:val="28"/>
          <w:szCs w:val="28"/>
        </w:rPr>
        <w:t xml:space="preserve">возникновении личной заинтересованности при исполнении должностных </w:t>
      </w:r>
      <w:r>
        <w:rPr>
          <w:bCs/>
          <w:sz w:val="28"/>
          <w:szCs w:val="28"/>
        </w:rPr>
        <w:t xml:space="preserve">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образования, Совета депутатов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Селтинск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Ившину Ю.Л.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7"/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7"/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7"/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  <w:r>
        <w:rPr>
          <w:b/>
          <w:sz w:val="28"/>
          <w:szCs w:val="28"/>
        </w:rPr>
        <w:t xml:space="preserve">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Муниципальный округ</w:t>
      </w:r>
      <w:r>
        <w:rPr>
          <w:b/>
          <w:bCs/>
          <w:sz w:val="28"/>
          <w:szCs w:val="28"/>
        </w:rPr>
        <w:t xml:space="preserve"> Селтинский</w:t>
      </w:r>
      <w:r>
        <w:rPr>
          <w:b/>
          <w:bCs/>
          <w:sz w:val="28"/>
          <w:szCs w:val="28"/>
        </w:rPr>
      </w:r>
    </w:p>
    <w:p>
      <w:pPr>
        <w:pStyle w:val="63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</w:t>
      </w:r>
      <w:r>
        <w:rPr>
          <w:b/>
          <w:sz w:val="28"/>
          <w:szCs w:val="28"/>
        </w:rPr>
        <w:t xml:space="preserve"> Удмуртской Республики</w:t>
      </w:r>
      <w:r>
        <w:rPr>
          <w:b/>
          <w:sz w:val="28"/>
          <w:szCs w:val="28"/>
        </w:rPr>
        <w:t xml:space="preserve">»</w:t>
        <w:tab/>
        <w:tab/>
        <w:t xml:space="preserve">     </w:t>
      </w:r>
      <w:r>
        <w:rPr>
          <w:b/>
          <w:sz w:val="28"/>
          <w:szCs w:val="28"/>
        </w:rPr>
        <w:tab/>
        <w:tab/>
        <w:tab/>
        <w:t xml:space="preserve">     </w:t>
      </w:r>
      <w:r>
        <w:rPr>
          <w:b/>
          <w:sz w:val="28"/>
          <w:szCs w:val="28"/>
        </w:rPr>
        <w:t xml:space="preserve">В.А.Протопопов</w:t>
      </w:r>
      <w:r>
        <w:rPr>
          <w:b/>
          <w:sz w:val="28"/>
          <w:szCs w:val="28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-70" w:firstLine="77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ind w:left="4820" w:hanging="4820"/>
        <w:jc w:val="right"/>
        <w:rPr>
          <w:sz w:val="24"/>
          <w:szCs w:val="24"/>
        </w:rPr>
        <w:framePr w:hSpace="180" w:wrap="around" w:vAnchor="text" w:hAnchor="margin" w:xAlign="right" w:y="68"/>
        <w:outlineLvl w:val="0"/>
      </w:pPr>
      <w:r>
        <w:rPr>
          <w:sz w:val="24"/>
          <w:szCs w:val="24"/>
        </w:rPr>
        <w:t xml:space="preserve">Утверждено </w:t>
      </w:r>
      <w:r>
        <w:rPr>
          <w:sz w:val="24"/>
          <w:szCs w:val="24"/>
        </w:rPr>
      </w:r>
    </w:p>
    <w:p>
      <w:pPr>
        <w:pStyle w:val="637"/>
        <w:ind w:left="4820" w:hanging="4820"/>
        <w:jc w:val="right"/>
        <w:rPr>
          <w:sz w:val="24"/>
          <w:szCs w:val="24"/>
        </w:rPr>
        <w:framePr w:hSpace="180" w:wrap="around" w:vAnchor="text" w:hAnchor="margin" w:xAlign="right" w:y="68"/>
        <w:outlineLvl w:val="0"/>
      </w:pPr>
      <w:r>
        <w:rPr>
          <w:sz w:val="24"/>
          <w:szCs w:val="24"/>
        </w:rPr>
        <w:t xml:space="preserve">постановлением Главы</w:t>
      </w:r>
      <w:r>
        <w:rPr>
          <w:sz w:val="24"/>
          <w:szCs w:val="24"/>
        </w:rPr>
      </w:r>
    </w:p>
    <w:p>
      <w:pPr>
        <w:pStyle w:val="637"/>
        <w:ind w:left="4820" w:hanging="4820"/>
        <w:jc w:val="right"/>
        <w:rPr>
          <w:sz w:val="24"/>
          <w:szCs w:val="24"/>
        </w:rPr>
        <w:framePr w:hSpace="180" w:wrap="around" w:vAnchor="text" w:hAnchor="margin" w:xAlign="right" w:y="68"/>
        <w:outlineLvl w:val="0"/>
      </w:pPr>
      <w:r>
        <w:rPr>
          <w:sz w:val="24"/>
          <w:szCs w:val="24"/>
        </w:rPr>
        <w:t xml:space="preserve">Селтинского района</w:t>
      </w:r>
      <w:r>
        <w:rPr>
          <w:sz w:val="24"/>
          <w:szCs w:val="24"/>
        </w:rPr>
      </w:r>
    </w:p>
    <w:p>
      <w:pPr>
        <w:pStyle w:val="683"/>
        <w:jc w:val="right"/>
        <w:widowControl/>
        <w:rPr>
          <w:rFonts w:ascii="Times New Roman" w:hAnsi="Times New Roman" w:cs="Times New Roman"/>
          <w:b w:val="0"/>
          <w:sz w:val="24"/>
          <w:szCs w:val="24"/>
        </w:rPr>
        <w:framePr w:hSpace="180" w:wrap="around" w:vAnchor="text" w:hAnchor="margin" w:xAlign="right" w:y="68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31.01.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37"/>
        <w:ind w:left="4820" w:hanging="4820"/>
        <w:jc w:val="right"/>
        <w:rPr>
          <w:sz w:val="24"/>
          <w:szCs w:val="24"/>
        </w:rPr>
        <w:framePr w:hSpace="180" w:wrap="around" w:vAnchor="text" w:hAnchor="margin" w:xAlign="right" w:y="68"/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jc w:val="center"/>
        <w:spacing w:line="200" w:lineRule="atLeast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</w:t>
      </w:r>
      <w:r>
        <w:rPr>
          <w:b/>
          <w:bCs/>
          <w:sz w:val="24"/>
          <w:szCs w:val="24"/>
        </w:rPr>
      </w:r>
    </w:p>
    <w:p>
      <w:pPr>
        <w:pStyle w:val="637"/>
        <w:jc w:val="center"/>
        <w:spacing w:line="200" w:lineRule="atLeast"/>
        <w:shd w:val="clear" w:color="auto" w:fill="ffffff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</w:t>
      </w:r>
      <w:r>
        <w:rPr>
          <w:b/>
          <w:sz w:val="24"/>
          <w:szCs w:val="24"/>
        </w:rPr>
        <w:t xml:space="preserve"> порядке сообщения муниципальными служащими Администрации муниципального образования «Муниципальный округ </w:t>
      </w:r>
      <w:r>
        <w:rPr>
          <w:b/>
          <w:sz w:val="24"/>
          <w:szCs w:val="24"/>
        </w:rPr>
        <w:t xml:space="preserve">Селтинский</w:t>
      </w:r>
      <w:r>
        <w:rPr>
          <w:b/>
          <w:sz w:val="24"/>
          <w:szCs w:val="24"/>
        </w:rPr>
        <w:t xml:space="preserve"> район Удмуртской Республики»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sz w:val="24"/>
          <w:szCs w:val="24"/>
        </w:rPr>
      </w:r>
    </w:p>
    <w:p>
      <w:pPr>
        <w:pStyle w:val="637"/>
        <w:spacing w:line="200" w:lineRule="atLeas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7"/>
        <w:numPr>
          <w:ilvl w:val="0"/>
          <w:numId w:val="9"/>
        </w:numPr>
        <w:ind w:left="0" w:firstLine="567"/>
        <w:jc w:val="both"/>
        <w:widowControl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сообщения муниципальными служащими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</w:t>
      </w:r>
      <w:bookmarkStart w:id="0" w:name="_Hlk99520558"/>
      <w:r>
        <w:rPr>
          <w:rFonts w:ascii="Times New Roman" w:hAnsi="Times New Roman" w:cs="Times New Roman"/>
          <w:sz w:val="24"/>
          <w:szCs w:val="24"/>
        </w:rPr>
        <w:t xml:space="preserve">структурных подразделений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наделенных правами юридического лица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(далее – структурные подразделения)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numPr>
          <w:ilvl w:val="0"/>
          <w:numId w:val="9"/>
        </w:numPr>
        <w:ind w:left="0" w:firstLine="567"/>
        <w:jc w:val="both"/>
        <w:widowControl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служащие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структурных подразделений обязаны в соответствии с законодательством Российской Федерации о п</w:t>
      </w:r>
      <w:r>
        <w:rPr>
          <w:rFonts w:ascii="Times New Roman" w:hAnsi="Times New Roman" w:cs="Times New Roman"/>
          <w:sz w:val="24"/>
          <w:szCs w:val="24"/>
        </w:rPr>
        <w:t xml:space="preserve">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1 к настоящему Положению.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numPr>
          <w:ilvl w:val="0"/>
          <w:numId w:val="9"/>
        </w:numPr>
        <w:ind w:left="0" w:firstLine="567"/>
        <w:jc w:val="both"/>
        <w:widowControl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1" w:name="P85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Муниципальные служащие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структурных подразделений направляют уведомления на имя представителя нанимателя (работодателя) через кадровую службу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кадровая служба), которая осуществляет их регист</w:t>
      </w:r>
      <w:r>
        <w:rPr>
          <w:rFonts w:ascii="Times New Roman" w:hAnsi="Times New Roman" w:cs="Times New Roman"/>
          <w:sz w:val="24"/>
          <w:szCs w:val="24"/>
        </w:rPr>
        <w:t xml:space="preserve">рацию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 к настоящему положению (далее - Журнал).</w:t>
      </w:r>
      <w:bookmarkStart w:id="2" w:name="P86"/>
      <w:r/>
      <w:bookmarkEnd w:id="2"/>
      <w:r/>
      <w:bookmarkStart w:id="3" w:name="P88"/>
      <w:r/>
      <w:bookmarkEnd w:id="3"/>
      <w:r/>
      <w:bookmarkStart w:id="4" w:name="P90"/>
      <w:r/>
      <w:bookmarkEnd w:id="4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numPr>
          <w:ilvl w:val="0"/>
          <w:numId w:val="9"/>
        </w:numPr>
        <w:ind w:left="0" w:firstLine="567"/>
        <w:jc w:val="both"/>
        <w:widowControl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ведется должностным лицом кадровой службы,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ответственным за работу по профилактике коррупционных и иных правонарушений. Листы журнала должны быть пронумерованы, прошнурованы и скреплены печатью Кадровой службы Администрации муниципального образования «Муниципальный округ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Селтинский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район Удмуртской Республики».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Журнал хранится в кадровой службе в течение 3 лет с момента регистрации в нем последнего уведомления, после чего передается в архив.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numPr>
          <w:ilvl w:val="0"/>
          <w:numId w:val="9"/>
        </w:numPr>
        <w:ind w:left="0" w:firstLine="567"/>
        <w:jc w:val="both"/>
        <w:widowControl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Уведомления, направленные представителю нанимателя муниципального служащего, по решению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нанимателя муниципального служащего могут быть переданы для рассмотрения в Комиссию по соблюдению требований к служебному поведению муниципальных служащих  и урегулированию конфликта интересов Администрации 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Комиссия) в соответствии с полномочиями указанной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numPr>
          <w:ilvl w:val="0"/>
          <w:numId w:val="9"/>
        </w:numPr>
        <w:ind w:left="0" w:firstLine="567"/>
        <w:jc w:val="both"/>
        <w:widowControl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Уведомления, по которым принято решение в соответствии с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"P90"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5 настоящего положения, могут быть направлены по поручению представителя нанимателя муниципального служащего в кадровую службу, которая осуществляет предварительное рассмотрение уведомлений.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firstLine="567"/>
        <w:jc w:val="both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5" w:name="P92"/>
      <w:r/>
      <w:bookmarkEnd w:id="5"/>
      <w:r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уведомлений должностное лицо кадровой службы,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ответственное за работу по профилактике к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, имеет право получать в установленном порядке от лиц, направивших уведомления, пояснения по изложенным в них обстоятельствам.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firstLine="567"/>
        <w:jc w:val="both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нанимателя муниципального служащего имеет право направлять в установленном порядке запросы в федеральные органы государственной власти, государственные органы Удмуртской Республики, иные государственные органы, органы местного самоуправления и организации.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numPr>
          <w:ilvl w:val="0"/>
          <w:numId w:val="9"/>
        </w:numPr>
        <w:ind w:left="0" w:firstLine="567"/>
        <w:jc w:val="both"/>
        <w:widowControl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предварительного рассмотрения уведомлений, поступивших в соответствии с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"P92"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6 настоящего Положения, подготавливается мотивированное заключение на каждое из них.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кадровую службу.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предварительного рассмотрения уведомлений должностное лицо кадровой службы, ответственное за работу по профилактике коррупционных и иных правонарушений, информирует представителя нанимателя муниципального служащего по уведомлениям, поступившим в их адрес.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"P92"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абзацах 2, 3 пункта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6 настоящего положения, ув</w:t>
      </w:r>
      <w:r>
        <w:rPr>
          <w:rFonts w:ascii="Times New Roman" w:hAnsi="Times New Roman" w:cs="Times New Roman"/>
          <w:sz w:val="24"/>
          <w:szCs w:val="24"/>
        </w:rPr>
        <w:t xml:space="preserve">едомления, заключения и другие материалы представляются председателю Комиссии в течение сорока пяти дней со дня поступления уведомлений в кадровую службу. Указанный срок может быть продлен, но не более чем на тридцать дней по решению председателя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numPr>
          <w:ilvl w:val="0"/>
          <w:numId w:val="9"/>
        </w:numPr>
        <w:ind w:left="0" w:firstLine="567"/>
        <w:jc w:val="both"/>
        <w:widowControl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нанимателя муниципального служащего по результатам рассмотрения ими уведомлений принимается одно из следующих решений: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признать, что при исполнении должностных обязанностей лицом, направившим уведомление, конфликт интересов отсутствует;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6" w:name="P99"/>
      <w:r/>
      <w:bookmarkEnd w:id="6"/>
      <w:r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признать, что лицом, направившим уведомление, не соблюдались требования об урегулировании конфликта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numPr>
          <w:ilvl w:val="0"/>
          <w:numId w:val="9"/>
        </w:numPr>
        <w:ind w:left="0" w:firstLine="567"/>
        <w:jc w:val="both"/>
        <w:widowControl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решения, предусмотренного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"P99"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подпунктом 2 пункта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8 настоящего положения, в соответствии с законодательством Российской Федерации и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нодательством Удмуртской Республики представитель нанимателя муниципального служащего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numPr>
          <w:ilvl w:val="0"/>
          <w:numId w:val="9"/>
        </w:numPr>
        <w:ind w:left="0" w:firstLine="567"/>
        <w:jc w:val="both"/>
        <w:widowControl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решения, предусмотренного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Par144 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пунктом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3 части 8 настоящего Положения, представитель нанимателя муниципального служащего принимает меры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numPr>
          <w:ilvl w:val="0"/>
          <w:numId w:val="9"/>
        </w:numPr>
        <w:ind w:left="0" w:firstLine="567"/>
        <w:jc w:val="both"/>
        <w:widowControl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рассматривает уведомления и принимает по ним решения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"consultantplus://offline/ref=417C34B7557F115A2B1F89D9A65F5958666C4FB95A5E5C21A13094E6DD662C2C1EB7838BBD58BF6304869E42K7N"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Положением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утвержденным распоряжением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numPr>
          <w:ilvl w:val="0"/>
          <w:numId w:val="9"/>
        </w:numPr>
        <w:ind w:left="0" w:firstLine="567"/>
        <w:jc w:val="both"/>
        <w:widowControl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Уведомление, мотивированное заключение,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тренное пунктом 7 настоящего Положения, принятое по результатам рассмотрения уведомления представителем нанимателя муниципального служащего, выписка из протокола заседания Комиссии приобщаются к личному делу муниципального служащего, подавшего уведомление.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Муниципальный служащий, подавший уведомление, информируется кадровой службой о принятом по результатам рассмотрения уведомления решении.</w:t>
      </w:r>
      <w:r>
        <w:rPr>
          <w:sz w:val="24"/>
          <w:szCs w:val="24"/>
        </w:rPr>
      </w:r>
    </w:p>
    <w:p>
      <w:pPr>
        <w:pStyle w:val="6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</w:t>
      </w:r>
      <w:r>
        <w:rPr>
          <w:sz w:val="24"/>
          <w:szCs w:val="24"/>
        </w:rPr>
      </w:r>
    </w:p>
    <w:p>
      <w:pPr>
        <w:pStyle w:val="66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муниципальными служащими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4733" w:type="dxa"/>
        <w:tblInd w:w="48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33"/>
      </w:tblGrid>
      <w:tr>
        <w:tblPrEx/>
        <w:trPr>
          <w:trHeight w:val="467"/>
        </w:trPr>
        <w:tc>
          <w:tcPr>
            <w:tcBorders>
              <w:bottom w:val="single" w:color="000000" w:sz="4" w:space="0"/>
            </w:tcBorders>
            <w:tcW w:w="4733" w:type="dxa"/>
            <w:vAlign w:val="bottom"/>
            <w:textDirection w:val="lrTb"/>
            <w:noWrap w:val="false"/>
          </w:tcPr>
          <w:p>
            <w:pPr>
              <w:pStyle w:val="689"/>
              <w:ind w:right="20" w:firstLine="0"/>
              <w:spacing w:after="5" w:line="240" w:lineRule="auto"/>
              <w:shd w:val="clear" w:color="auto" w:fill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454"/>
        </w:trPr>
        <w:tc>
          <w:tcPr>
            <w:tcBorders>
              <w:top w:val="single" w:color="000000" w:sz="4" w:space="0"/>
            </w:tcBorders>
            <w:tcW w:w="4733" w:type="dxa"/>
            <w:vAlign w:val="top"/>
            <w:textDirection w:val="lrTb"/>
            <w:noWrap w:val="false"/>
          </w:tcPr>
          <w:p>
            <w:pPr>
              <w:pStyle w:val="689"/>
              <w:ind w:right="20" w:firstLine="0"/>
              <w:jc w:val="center"/>
              <w:spacing w:after="5" w:line="240" w:lineRule="auto"/>
              <w:shd w:val="clear" w:color="auto" w:fill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 xml:space="preserve">(должность представителя нанимателя (работодателя), ФИО)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24"/>
        </w:trPr>
        <w:tc>
          <w:tcPr>
            <w:tcBorders>
              <w:bottom w:val="single" w:color="000000" w:sz="4" w:space="0"/>
            </w:tcBorders>
            <w:tcW w:w="4733" w:type="dxa"/>
            <w:vAlign w:val="top"/>
            <w:textDirection w:val="lrTb"/>
            <w:noWrap w:val="false"/>
          </w:tcPr>
          <w:p>
            <w:pPr>
              <w:pStyle w:val="689"/>
              <w:ind w:right="20" w:firstLine="0"/>
              <w:spacing w:after="5" w:line="240" w:lineRule="auto"/>
              <w:shd w:val="clear" w:color="auto" w:fill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000000" w:sz="4" w:space="0"/>
            </w:tcBorders>
            <w:tcW w:w="4733" w:type="dxa"/>
            <w:vAlign w:val="top"/>
            <w:textDirection w:val="lrTb"/>
            <w:noWrap w:val="false"/>
          </w:tcPr>
          <w:p>
            <w:pPr>
              <w:pStyle w:val="689"/>
              <w:ind w:right="20" w:firstLine="0"/>
              <w:jc w:val="center"/>
              <w:spacing w:after="5" w:line="240" w:lineRule="auto"/>
              <w:shd w:val="clear" w:color="auto" w:fill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 xml:space="preserve">(Ф.И.О., должность муниципального служащего, телефон)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454"/>
        </w:trPr>
        <w:tc>
          <w:tcPr>
            <w:tcBorders>
              <w:bottom w:val="single" w:color="000000" w:sz="4" w:space="0"/>
            </w:tcBorders>
            <w:tcW w:w="4733" w:type="dxa"/>
            <w:vAlign w:val="top"/>
            <w:textDirection w:val="lrTb"/>
            <w:noWrap w:val="false"/>
          </w:tcPr>
          <w:p>
            <w:pPr>
              <w:pStyle w:val="689"/>
              <w:ind w:right="20" w:firstLine="0"/>
              <w:spacing w:after="5" w:line="240" w:lineRule="auto"/>
              <w:shd w:val="clear" w:color="auto" w:fill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</w:r>
          </w:p>
        </w:tc>
      </w:tr>
    </w:tbl>
    <w:p>
      <w:pPr>
        <w:pStyle w:val="6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приводит или может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2"/>
      </w:tblGrid>
      <w:tr>
        <w:tblPrEx/>
        <w:trPr>
          <w:trHeight w:val="80"/>
        </w:trPr>
        <w:tc>
          <w:tcPr>
            <w:tcBorders>
              <w:bottom w:val="single" w:color="000000" w:sz="4" w:space="0"/>
            </w:tcBorders>
            <w:tcW w:w="9852" w:type="dxa"/>
            <w:vAlign w:val="top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852" w:type="dxa"/>
            <w:vAlign w:val="top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pStyle w:val="68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обязанности,  на  исполнение  которых  влияет  или  может повлиять личная заинтересованность: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2"/>
      </w:tblGrid>
      <w:tr>
        <w:tblPrEx/>
        <w:trPr>
          <w:trHeight w:val="80"/>
        </w:trPr>
        <w:tc>
          <w:tcPr>
            <w:tcBorders>
              <w:bottom w:val="single" w:color="000000" w:sz="4" w:space="0"/>
            </w:tcBorders>
            <w:tcW w:w="9852" w:type="dxa"/>
            <w:vAlign w:val="top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852" w:type="dxa"/>
            <w:vAlign w:val="top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pStyle w:val="68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2"/>
      </w:tblGrid>
      <w:tr>
        <w:tblPrEx/>
        <w:trPr>
          <w:trHeight w:val="80"/>
        </w:trPr>
        <w:tc>
          <w:tcPr>
            <w:tcBorders>
              <w:bottom w:val="single" w:color="000000" w:sz="4" w:space="0"/>
            </w:tcBorders>
            <w:tcW w:w="9852" w:type="dxa"/>
            <w:vAlign w:val="top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852" w:type="dxa"/>
            <w:vAlign w:val="top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pStyle w:val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при рассмотрении настоящего уведомления (нужное подчеркнуть).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7"/>
        <w:gridCol w:w="284"/>
        <w:gridCol w:w="5379"/>
      </w:tblGrid>
      <w:tr>
        <w:tblPrEx/>
        <w:trPr/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jc w:val="both"/>
              <w:spacing w:before="0" w:after="0" w:line="322" w:lineRule="exact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«___»______________20___ года</w:t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jc w:val="both"/>
              <w:spacing w:before="0" w:after="0" w:line="322" w:lineRule="exact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>
              <w:bottom w:val="single" w:color="000000" w:sz="4" w:space="0"/>
            </w:tcBorders>
            <w:tcW w:w="5379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jc w:val="both"/>
              <w:spacing w:before="0" w:after="0" w:line="322" w:lineRule="exact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jc w:val="both"/>
              <w:spacing w:before="0" w:after="0" w:line="322" w:lineRule="exact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jc w:val="both"/>
              <w:spacing w:before="0" w:after="0" w:line="322" w:lineRule="exact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</w:tcBorders>
            <w:tcW w:w="5379" w:type="dxa"/>
            <w:vAlign w:val="top"/>
            <w:textDirection w:val="lrTb"/>
            <w:noWrap w:val="false"/>
          </w:tcPr>
          <w:p>
            <w:pPr>
              <w:pStyle w:val="687"/>
              <w:ind w:firstLine="0"/>
              <w:jc w:val="center"/>
              <w:spacing w:before="0" w:after="0" w:line="240" w:lineRule="auto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(подпись, расшифровка подписи лица, направляющего уведомление)</w:t>
            </w:r>
            <w:r>
              <w:rPr>
                <w:color w:val="000000"/>
                <w:sz w:val="24"/>
                <w:szCs w:val="24"/>
                <w:lang w:bidi="ru-RU"/>
              </w:rPr>
            </w:r>
          </w:p>
        </w:tc>
      </w:tr>
    </w:tbl>
    <w:p>
      <w:pPr>
        <w:pStyle w:val="667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муниципальными служащими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4"/>
          <w:szCs w:val="24"/>
        </w:rPr>
        <w:t xml:space="preserve">Селтинский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уведомлений о возникновении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личной заинтересованности  при исполнении должностных обязанностей,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836"/>
        <w:gridCol w:w="2127"/>
        <w:gridCol w:w="1611"/>
        <w:gridCol w:w="2059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6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Ф.И.О., должность подавшего уведомление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Причина возникновения конфликта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611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поступления уведомления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059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Ф.И.О., должность, подпись регистрирующего уведомление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Дата, номер протокола заседания комиссии, принятое решение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611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059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611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059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836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611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059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pStyle w:val="6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9" w:h="16834" w:orient="portrait"/>
      <w:pgMar w:top="567" w:right="567" w:bottom="567" w:left="1701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Udmurt Academy">
    <w:panose1 w:val="000007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0" w:hanging="1032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2" w:hanging="1020"/>
      </w:pPr>
      <w:rPr>
        <w:rFonts w:eastAsia="Calibri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lang w:val="ru-RU" w:eastAsia="ru-RU" w:bidi="ar-SA"/>
    </w:rPr>
  </w:style>
  <w:style w:type="paragraph" w:styleId="638">
    <w:name w:val="Заголовок 1"/>
    <w:basedOn w:val="637"/>
    <w:next w:val="637"/>
    <w:link w:val="646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39">
    <w:name w:val="Заголовок 2"/>
    <w:basedOn w:val="637"/>
    <w:next w:val="637"/>
    <w:link w:val="647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40">
    <w:name w:val="Заголовок 3"/>
    <w:basedOn w:val="637"/>
    <w:next w:val="637"/>
    <w:link w:val="648"/>
    <w:qFormat/>
    <w:pPr>
      <w:jc w:val="center"/>
      <w:keepNext/>
      <w:outlineLvl w:val="2"/>
    </w:pPr>
    <w:rPr>
      <w:b/>
      <w:bCs/>
      <w:sz w:val="24"/>
      <w:lang w:val="en-US" w:eastAsia="en-US"/>
    </w:rPr>
  </w:style>
  <w:style w:type="paragraph" w:styleId="641">
    <w:name w:val="Заголовок 5"/>
    <w:basedOn w:val="637"/>
    <w:next w:val="637"/>
    <w:link w:val="669"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42">
    <w:name w:val="Заголовок 6"/>
    <w:basedOn w:val="637"/>
    <w:next w:val="637"/>
    <w:link w:val="670"/>
    <w:unhideWhenUsed/>
    <w:qFormat/>
    <w:p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character" w:styleId="643">
    <w:name w:val="Основной шрифт абзаца"/>
    <w:next w:val="643"/>
    <w:link w:val="637"/>
    <w:semiHidden/>
  </w:style>
  <w:style w:type="table" w:styleId="644">
    <w:name w:val="Обычная таблица"/>
    <w:next w:val="644"/>
    <w:link w:val="637"/>
    <w:semiHidden/>
    <w:tblPr/>
  </w:style>
  <w:style w:type="numbering" w:styleId="645">
    <w:name w:val="Нет списка"/>
    <w:next w:val="645"/>
    <w:link w:val="637"/>
    <w:uiPriority w:val="99"/>
    <w:semiHidden/>
  </w:style>
  <w:style w:type="character" w:styleId="646">
    <w:name w:val="Заголовок 1 Знак"/>
    <w:next w:val="646"/>
    <w:link w:val="638"/>
    <w:rPr>
      <w:rFonts w:ascii="Cambria" w:hAnsi="Cambria" w:eastAsia="Times New Roman" w:cs="Times New Roman"/>
      <w:b/>
      <w:bCs/>
      <w:sz w:val="32"/>
      <w:szCs w:val="32"/>
    </w:rPr>
  </w:style>
  <w:style w:type="character" w:styleId="647">
    <w:name w:val="Заголовок 2 Знак"/>
    <w:next w:val="647"/>
    <w:link w:val="63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48">
    <w:name w:val="Заголовок 3 Знак"/>
    <w:next w:val="648"/>
    <w:link w:val="640"/>
    <w:rPr>
      <w:b/>
      <w:bCs/>
      <w:sz w:val="24"/>
    </w:rPr>
  </w:style>
  <w:style w:type="paragraph" w:styleId="649">
    <w:name w:val="Основной текст 2"/>
    <w:basedOn w:val="637"/>
    <w:next w:val="649"/>
    <w:link w:val="671"/>
    <w:pPr>
      <w:jc w:val="center"/>
    </w:pPr>
    <w:rPr>
      <w:rFonts w:ascii="Udmurt Academy" w:hAnsi="Udmurt Academy"/>
      <w:b/>
      <w:spacing w:val="50"/>
      <w:sz w:val="24"/>
    </w:rPr>
  </w:style>
  <w:style w:type="paragraph" w:styleId="650">
    <w:name w:val="Текст выноски"/>
    <w:basedOn w:val="637"/>
    <w:next w:val="650"/>
    <w:link w:val="651"/>
    <w:semiHidden/>
    <w:rPr>
      <w:rFonts w:ascii="Tahoma" w:hAnsi="Tahoma"/>
      <w:sz w:val="16"/>
      <w:szCs w:val="16"/>
      <w:lang w:val="en-US" w:eastAsia="en-US"/>
    </w:rPr>
  </w:style>
  <w:style w:type="character" w:styleId="651">
    <w:name w:val="Текст выноски Знак"/>
    <w:next w:val="651"/>
    <w:link w:val="650"/>
    <w:semiHidden/>
    <w:rPr>
      <w:rFonts w:ascii="Tahoma" w:hAnsi="Tahoma" w:cs="Tahoma"/>
      <w:sz w:val="16"/>
      <w:szCs w:val="16"/>
    </w:rPr>
  </w:style>
  <w:style w:type="paragraph" w:styleId="652">
    <w:name w:val="Схема документа"/>
    <w:basedOn w:val="637"/>
    <w:next w:val="652"/>
    <w:link w:val="672"/>
    <w:semiHidden/>
    <w:pPr>
      <w:shd w:val="clear" w:color="auto" w:fill="000080"/>
    </w:pPr>
    <w:rPr>
      <w:rFonts w:ascii="Tahoma" w:hAnsi="Tahoma" w:cs="Tahoma"/>
    </w:rPr>
  </w:style>
  <w:style w:type="table" w:styleId="653">
    <w:name w:val="Сетка таблицы"/>
    <w:basedOn w:val="644"/>
    <w:next w:val="653"/>
    <w:link w:val="637"/>
    <w:rPr>
      <w:lang w:val="ru-RU" w:eastAsia="ru-RU" w:bidi="ar-SA"/>
    </w:rPr>
    <w:tblPr/>
  </w:style>
  <w:style w:type="paragraph" w:styleId="654">
    <w:name w:val="Основной текст"/>
    <w:basedOn w:val="637"/>
    <w:next w:val="654"/>
    <w:link w:val="673"/>
    <w:pPr>
      <w:spacing w:after="120"/>
    </w:pPr>
  </w:style>
  <w:style w:type="paragraph" w:styleId="655">
    <w:name w:val="Основной текст с отступом"/>
    <w:basedOn w:val="637"/>
    <w:next w:val="655"/>
    <w:link w:val="656"/>
    <w:pPr>
      <w:ind w:left="283"/>
      <w:spacing w:after="120"/>
    </w:pPr>
  </w:style>
  <w:style w:type="character" w:styleId="656">
    <w:name w:val="Основной текст с отступом Знак"/>
    <w:basedOn w:val="643"/>
    <w:next w:val="656"/>
    <w:link w:val="655"/>
  </w:style>
  <w:style w:type="paragraph" w:styleId="657">
    <w:name w:val="Основной текст с отступом 21"/>
    <w:basedOn w:val="637"/>
    <w:next w:val="657"/>
    <w:link w:val="637"/>
    <w:pPr>
      <w:ind w:firstLine="720"/>
      <w:jc w:val="both"/>
    </w:pPr>
    <w:rPr>
      <w:sz w:val="28"/>
      <w:szCs w:val="24"/>
      <w:lang w:eastAsia="ar-SA"/>
    </w:rPr>
  </w:style>
  <w:style w:type="paragraph" w:styleId="658">
    <w:name w:val="ConsNormal"/>
    <w:next w:val="658"/>
    <w:link w:val="637"/>
    <w:pPr>
      <w:ind w:firstLine="720"/>
    </w:pPr>
    <w:rPr>
      <w:rFonts w:ascii="Arial" w:hAnsi="Arial" w:eastAsia="Arial" w:cs="Arial"/>
      <w:lang w:val="ru-RU" w:eastAsia="ar-SA" w:bidi="ar-SA"/>
    </w:rPr>
  </w:style>
  <w:style w:type="paragraph" w:styleId="659">
    <w:name w:val="ConsNonformat"/>
    <w:next w:val="659"/>
    <w:link w:val="637"/>
    <w:pPr>
      <w:widowControl w:val="off"/>
    </w:pPr>
    <w:rPr>
      <w:rFonts w:ascii="Courier New" w:hAnsi="Courier New" w:eastAsia="Arial" w:cs="Courier New"/>
      <w:lang w:val="ru-RU" w:eastAsia="ar-SA" w:bidi="ar-SA"/>
    </w:rPr>
  </w:style>
  <w:style w:type="paragraph" w:styleId="660">
    <w:name w:val="Верхний колонтитул"/>
    <w:basedOn w:val="637"/>
    <w:next w:val="660"/>
    <w:link w:val="674"/>
    <w:uiPriority w:val="99"/>
    <w:pPr>
      <w:tabs>
        <w:tab w:val="center" w:pos="4153" w:leader="none"/>
        <w:tab w:val="right" w:pos="8306" w:leader="none"/>
      </w:tabs>
    </w:pPr>
    <w:rPr>
      <w:sz w:val="24"/>
    </w:rPr>
  </w:style>
  <w:style w:type="paragraph" w:styleId="661">
    <w:name w:val="Основной текст 31"/>
    <w:basedOn w:val="637"/>
    <w:next w:val="661"/>
    <w:link w:val="637"/>
    <w:rPr>
      <w:sz w:val="28"/>
      <w:lang w:eastAsia="ar-SA"/>
    </w:rPr>
  </w:style>
  <w:style w:type="paragraph" w:styleId="662">
    <w:name w:val="Основной текст 21"/>
    <w:basedOn w:val="637"/>
    <w:next w:val="662"/>
    <w:link w:val="637"/>
    <w:pPr>
      <w:jc w:val="both"/>
    </w:pPr>
    <w:rPr>
      <w:sz w:val="28"/>
      <w:lang w:eastAsia="ar-SA"/>
    </w:rPr>
  </w:style>
  <w:style w:type="paragraph" w:styleId="663">
    <w:name w:val="Основной текст 3"/>
    <w:basedOn w:val="637"/>
    <w:next w:val="663"/>
    <w:link w:val="664"/>
    <w:unhideWhenUsed/>
    <w:pPr>
      <w:spacing w:after="120"/>
    </w:pPr>
    <w:rPr>
      <w:sz w:val="16"/>
      <w:szCs w:val="16"/>
      <w:lang w:val="en-US" w:eastAsia="en-US"/>
    </w:rPr>
  </w:style>
  <w:style w:type="character" w:styleId="664">
    <w:name w:val="Основной текст 3 Знак"/>
    <w:next w:val="664"/>
    <w:link w:val="663"/>
    <w:rPr>
      <w:sz w:val="16"/>
      <w:szCs w:val="16"/>
    </w:rPr>
  </w:style>
  <w:style w:type="paragraph" w:styleId="665">
    <w:name w:val="consnormal"/>
    <w:basedOn w:val="637"/>
    <w:next w:val="665"/>
    <w:link w:val="637"/>
    <w:pPr>
      <w:spacing w:before="100" w:beforeAutospacing="1" w:after="100" w:afterAutospacing="1"/>
    </w:pPr>
    <w:rPr>
      <w:sz w:val="24"/>
      <w:szCs w:val="24"/>
    </w:rPr>
  </w:style>
  <w:style w:type="paragraph" w:styleId="666">
    <w:name w:val="Абзац списка"/>
    <w:basedOn w:val="637"/>
    <w:next w:val="666"/>
    <w:link w:val="637"/>
    <w:uiPriority w:val="34"/>
    <w:qFormat/>
    <w:pPr>
      <w:contextualSpacing/>
      <w:ind w:left="720"/>
    </w:pPr>
  </w:style>
  <w:style w:type="paragraph" w:styleId="667">
    <w:name w:val="ConsPlusNormal"/>
    <w:next w:val="667"/>
    <w:link w:val="68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68">
    <w:name w:val="blk"/>
    <w:basedOn w:val="643"/>
    <w:next w:val="668"/>
    <w:link w:val="637"/>
  </w:style>
  <w:style w:type="character" w:styleId="669">
    <w:name w:val="Заголовок 5 Знак"/>
    <w:next w:val="669"/>
    <w:link w:val="641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70">
    <w:name w:val="Заголовок 6 Знак"/>
    <w:next w:val="670"/>
    <w:link w:val="642"/>
    <w:rPr>
      <w:rFonts w:ascii="Calibri" w:hAnsi="Calibri" w:eastAsia="Times New Roman" w:cs="Times New Roman"/>
      <w:b/>
      <w:bCs/>
      <w:sz w:val="22"/>
      <w:szCs w:val="22"/>
    </w:rPr>
  </w:style>
  <w:style w:type="character" w:styleId="671">
    <w:name w:val="Основной текст 2 Знак"/>
    <w:next w:val="671"/>
    <w:link w:val="649"/>
    <w:rPr>
      <w:rFonts w:ascii="Udmurt Academy" w:hAnsi="Udmurt Academy"/>
      <w:b/>
      <w:spacing w:val="50"/>
      <w:sz w:val="24"/>
    </w:rPr>
  </w:style>
  <w:style w:type="character" w:styleId="672">
    <w:name w:val="Схема документа Знак"/>
    <w:next w:val="672"/>
    <w:link w:val="652"/>
    <w:semiHidden/>
    <w:rPr>
      <w:rFonts w:ascii="Tahoma" w:hAnsi="Tahoma" w:cs="Tahoma"/>
      <w:shd w:val="clear" w:color="auto" w:fill="000080"/>
    </w:rPr>
  </w:style>
  <w:style w:type="character" w:styleId="673">
    <w:name w:val="Основной текст Знак"/>
    <w:basedOn w:val="643"/>
    <w:next w:val="673"/>
    <w:link w:val="654"/>
  </w:style>
  <w:style w:type="character" w:styleId="674">
    <w:name w:val="Верхний колонтитул Знак"/>
    <w:next w:val="674"/>
    <w:link w:val="660"/>
    <w:uiPriority w:val="99"/>
    <w:rPr>
      <w:sz w:val="24"/>
    </w:rPr>
  </w:style>
  <w:style w:type="paragraph" w:styleId="675">
    <w:name w:val="Обычный (веб)"/>
    <w:basedOn w:val="637"/>
    <w:next w:val="675"/>
    <w:link w:val="637"/>
    <w:pPr>
      <w:spacing w:before="100" w:beforeAutospacing="1" w:after="100" w:afterAutospacing="1"/>
    </w:pPr>
    <w:rPr>
      <w:sz w:val="24"/>
      <w:szCs w:val="24"/>
    </w:rPr>
  </w:style>
  <w:style w:type="paragraph" w:styleId="676">
    <w:name w:val="текст сноски"/>
    <w:basedOn w:val="637"/>
    <w:next w:val="676"/>
    <w:link w:val="637"/>
    <w:uiPriority w:val="99"/>
  </w:style>
  <w:style w:type="paragraph" w:styleId="677">
    <w:name w:val="Знак"/>
    <w:basedOn w:val="637"/>
    <w:next w:val="677"/>
    <w:link w:val="637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678">
    <w:name w:val="Нижний колонтитул"/>
    <w:basedOn w:val="637"/>
    <w:next w:val="678"/>
    <w:link w:val="679"/>
    <w:uiPriority w:val="99"/>
    <w:pPr>
      <w:tabs>
        <w:tab w:val="center" w:pos="4677" w:leader="none"/>
        <w:tab w:val="right" w:pos="9355" w:leader="none"/>
      </w:tabs>
    </w:pPr>
  </w:style>
  <w:style w:type="character" w:styleId="679">
    <w:name w:val="Нижний колонтитул Знак"/>
    <w:basedOn w:val="643"/>
    <w:next w:val="679"/>
    <w:link w:val="678"/>
    <w:uiPriority w:val="99"/>
  </w:style>
  <w:style w:type="paragraph" w:styleId="680">
    <w:name w:val="Без интервала"/>
    <w:next w:val="680"/>
    <w:link w:val="637"/>
    <w:uiPriority w:val="1"/>
    <w:qFormat/>
    <w:rPr>
      <w:lang w:val="ru-RU" w:eastAsia="ru-RU" w:bidi="ar-SA"/>
    </w:rPr>
  </w:style>
  <w:style w:type="character" w:styleId="681">
    <w:name w:val="Гиперссылка"/>
    <w:next w:val="681"/>
    <w:link w:val="637"/>
    <w:uiPriority w:val="99"/>
    <w:unhideWhenUsed/>
    <w:rPr>
      <w:color w:val="0000ff"/>
      <w:u w:val="single"/>
    </w:rPr>
  </w:style>
  <w:style w:type="character" w:styleId="682">
    <w:name w:val="ConsPlusNormal Знак"/>
    <w:next w:val="682"/>
    <w:link w:val="667"/>
    <w:rPr>
      <w:rFonts w:ascii="Calibri" w:hAnsi="Calibri" w:cs="Calibri"/>
      <w:sz w:val="22"/>
      <w:lang w:val="ru-RU" w:eastAsia="ru-RU" w:bidi="ar-SA"/>
    </w:rPr>
  </w:style>
  <w:style w:type="paragraph" w:styleId="683">
    <w:name w:val="ConsPlusTitle"/>
    <w:next w:val="683"/>
    <w:link w:val="637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84">
    <w:name w:val="ConsPlusNonformat"/>
    <w:next w:val="684"/>
    <w:link w:val="637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85">
    <w:name w:val="Default"/>
    <w:next w:val="685"/>
    <w:link w:val="637"/>
    <w:rPr>
      <w:color w:val="000000"/>
      <w:sz w:val="24"/>
      <w:szCs w:val="24"/>
      <w:lang w:val="ru-RU" w:eastAsia="ru-RU" w:bidi="ar-SA"/>
    </w:rPr>
  </w:style>
  <w:style w:type="character" w:styleId="686">
    <w:name w:val="Основной текст (2)_"/>
    <w:next w:val="686"/>
    <w:link w:val="687"/>
    <w:rPr>
      <w:sz w:val="28"/>
      <w:szCs w:val="28"/>
      <w:shd w:val="clear" w:color="auto" w:fill="ffffff"/>
    </w:rPr>
  </w:style>
  <w:style w:type="paragraph" w:styleId="687">
    <w:name w:val="Основной текст (2)"/>
    <w:basedOn w:val="637"/>
    <w:next w:val="687"/>
    <w:link w:val="686"/>
    <w:pPr>
      <w:ind w:hanging="540"/>
      <w:spacing w:before="720" w:after="420" w:line="0" w:lineRule="atLeast"/>
      <w:shd w:val="clear" w:color="auto" w:fill="ffffff"/>
      <w:widowControl w:val="off"/>
    </w:pPr>
    <w:rPr>
      <w:sz w:val="28"/>
      <w:szCs w:val="28"/>
    </w:rPr>
  </w:style>
  <w:style w:type="character" w:styleId="688">
    <w:name w:val="Основной текст (3)_"/>
    <w:next w:val="688"/>
    <w:link w:val="689"/>
    <w:rPr>
      <w:b/>
      <w:bCs/>
      <w:sz w:val="28"/>
      <w:szCs w:val="28"/>
      <w:shd w:val="clear" w:color="auto" w:fill="ffffff"/>
    </w:rPr>
  </w:style>
  <w:style w:type="paragraph" w:styleId="689">
    <w:name w:val="Основной текст (3)"/>
    <w:basedOn w:val="637"/>
    <w:next w:val="689"/>
    <w:link w:val="688"/>
    <w:pPr>
      <w:ind w:hanging="420"/>
      <w:spacing w:line="326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1892" w:default="1">
    <w:name w:val="Default Paragraph Font"/>
    <w:uiPriority w:val="1"/>
    <w:semiHidden/>
    <w:unhideWhenUsed/>
  </w:style>
  <w:style w:type="numbering" w:styleId="1893" w:default="1">
    <w:name w:val="No List"/>
    <w:uiPriority w:val="99"/>
    <w:semiHidden/>
    <w:unhideWhenUsed/>
  </w:style>
  <w:style w:type="table" w:styleId="1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creator>1</dc:creator>
  <cp:lastModifiedBy>Дмитрий Шишкин</cp:lastModifiedBy>
  <cp:revision>6</cp:revision>
  <dcterms:created xsi:type="dcterms:W3CDTF">2024-01-30T12:20:00Z</dcterms:created>
  <dcterms:modified xsi:type="dcterms:W3CDTF">2025-05-05T12:24:02Z</dcterms:modified>
  <cp:version>917504</cp:version>
</cp:coreProperties>
</file>